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2AE" w:rsidRPr="003738BD" w:rsidRDefault="008A42AE">
      <w:pPr>
        <w:rPr>
          <w:b/>
          <w:sz w:val="28"/>
          <w:szCs w:val="28"/>
        </w:rPr>
      </w:pPr>
      <w:r>
        <w:rPr>
          <w:b/>
          <w:sz w:val="28"/>
          <w:szCs w:val="28"/>
        </w:rPr>
        <w:t>Guidelines for w</w:t>
      </w:r>
      <w:r w:rsidRPr="003738BD">
        <w:rPr>
          <w:b/>
          <w:sz w:val="28"/>
          <w:szCs w:val="28"/>
        </w:rPr>
        <w:t>ithdrawal from Debt Review.</w:t>
      </w:r>
    </w:p>
    <w:p w:rsidR="008A42AE" w:rsidRPr="003738BD" w:rsidRDefault="008A42AE">
      <w:pPr>
        <w:rPr>
          <w:sz w:val="16"/>
          <w:szCs w:val="16"/>
        </w:rPr>
      </w:pPr>
    </w:p>
    <w:p w:rsidR="008A42AE" w:rsidRDefault="008A42AE" w:rsidP="0009344B">
      <w:pPr>
        <w:pStyle w:val="ListParagraph"/>
        <w:numPr>
          <w:ilvl w:val="0"/>
          <w:numId w:val="1"/>
        </w:numPr>
        <w:autoSpaceDE w:val="0"/>
        <w:autoSpaceDN w:val="0"/>
        <w:adjustRightInd w:val="0"/>
        <w:spacing w:line="360" w:lineRule="auto"/>
        <w:jc w:val="both"/>
        <w:rPr>
          <w:rFonts w:cs="Calibri"/>
          <w:b/>
          <w:lang w:eastAsia="en-ZA"/>
        </w:rPr>
      </w:pPr>
      <w:r w:rsidRPr="00CD4E12">
        <w:rPr>
          <w:rFonts w:cs="Calibri"/>
          <w:b/>
          <w:lang w:eastAsia="en-ZA"/>
        </w:rPr>
        <w:t xml:space="preserve">Introduction </w:t>
      </w:r>
    </w:p>
    <w:p w:rsidR="008A42AE" w:rsidRPr="003738BD" w:rsidRDefault="008A42AE" w:rsidP="003738BD">
      <w:pPr>
        <w:pStyle w:val="ListParagraph"/>
        <w:autoSpaceDE w:val="0"/>
        <w:autoSpaceDN w:val="0"/>
        <w:adjustRightInd w:val="0"/>
        <w:spacing w:line="360" w:lineRule="auto"/>
        <w:ind w:left="360"/>
        <w:jc w:val="both"/>
        <w:rPr>
          <w:rFonts w:cs="Calibri"/>
          <w:b/>
          <w:sz w:val="16"/>
          <w:szCs w:val="16"/>
          <w:lang w:eastAsia="en-ZA"/>
        </w:rPr>
      </w:pPr>
    </w:p>
    <w:p w:rsidR="008A42AE" w:rsidRPr="003738BD" w:rsidRDefault="008A42AE" w:rsidP="00CD4E12">
      <w:pPr>
        <w:pStyle w:val="ListParagraph"/>
        <w:autoSpaceDE w:val="0"/>
        <w:autoSpaceDN w:val="0"/>
        <w:adjustRightInd w:val="0"/>
        <w:spacing w:line="360" w:lineRule="auto"/>
        <w:ind w:left="360"/>
        <w:jc w:val="both"/>
        <w:rPr>
          <w:rFonts w:cs="Calibri"/>
          <w:sz w:val="16"/>
          <w:szCs w:val="16"/>
          <w:lang w:eastAsia="en-ZA"/>
        </w:rPr>
      </w:pPr>
      <w:r>
        <w:rPr>
          <w:rFonts w:cs="Calibri"/>
          <w:lang w:eastAsia="en-ZA"/>
        </w:rPr>
        <w:t xml:space="preserve">The Credit Industry Forum (CIF), on 20 October 2014, approved the following guidelines for withdrawal from Debt Review. </w:t>
      </w:r>
    </w:p>
    <w:p w:rsidR="008A42AE" w:rsidRDefault="008A42AE" w:rsidP="00CD4E12">
      <w:pPr>
        <w:pStyle w:val="ListParagraph"/>
        <w:autoSpaceDE w:val="0"/>
        <w:autoSpaceDN w:val="0"/>
        <w:adjustRightInd w:val="0"/>
        <w:spacing w:line="360" w:lineRule="auto"/>
        <w:ind w:left="360"/>
        <w:jc w:val="both"/>
        <w:rPr>
          <w:rFonts w:cs="Calibri"/>
          <w:lang w:eastAsia="en-ZA"/>
        </w:rPr>
      </w:pPr>
    </w:p>
    <w:p w:rsidR="008A42AE" w:rsidRPr="00BE6932" w:rsidRDefault="008A42AE" w:rsidP="00BE6932">
      <w:pPr>
        <w:pStyle w:val="ListParagraph"/>
        <w:numPr>
          <w:ilvl w:val="0"/>
          <w:numId w:val="1"/>
        </w:numPr>
        <w:autoSpaceDE w:val="0"/>
        <w:autoSpaceDN w:val="0"/>
        <w:adjustRightInd w:val="0"/>
        <w:spacing w:line="360" w:lineRule="auto"/>
        <w:jc w:val="both"/>
        <w:rPr>
          <w:rFonts w:cs="Calibri"/>
          <w:b/>
          <w:lang w:eastAsia="en-ZA"/>
        </w:rPr>
      </w:pPr>
      <w:r w:rsidRPr="00BE6932">
        <w:rPr>
          <w:rFonts w:cs="Calibri"/>
          <w:b/>
          <w:lang w:eastAsia="en-ZA"/>
        </w:rPr>
        <w:t>Background</w:t>
      </w:r>
    </w:p>
    <w:p w:rsidR="008A42AE" w:rsidRPr="0011767D" w:rsidRDefault="008A42AE" w:rsidP="001D73BE">
      <w:pPr>
        <w:autoSpaceDE w:val="0"/>
        <w:autoSpaceDN w:val="0"/>
        <w:adjustRightInd w:val="0"/>
        <w:spacing w:line="360" w:lineRule="auto"/>
        <w:ind w:left="360"/>
        <w:jc w:val="both"/>
        <w:rPr>
          <w:rFonts w:cs="Calibri"/>
          <w:lang w:eastAsia="en-ZA"/>
        </w:rPr>
      </w:pPr>
      <w:r w:rsidRPr="0011767D">
        <w:rPr>
          <w:rFonts w:cs="Calibri"/>
          <w:lang w:eastAsia="en-ZA"/>
        </w:rPr>
        <w:t xml:space="preserve">The National Credit Act No.34 of 2005 (“the NCA”) became fully operational on 1 June 2007. The NCA introduced </w:t>
      </w:r>
      <w:r>
        <w:rPr>
          <w:rFonts w:cs="Calibri"/>
          <w:lang w:eastAsia="en-ZA"/>
        </w:rPr>
        <w:t>Debt Review</w:t>
      </w:r>
      <w:r w:rsidRPr="0011767D">
        <w:rPr>
          <w:rFonts w:cs="Calibri"/>
          <w:lang w:eastAsia="en-ZA"/>
        </w:rPr>
        <w:t xml:space="preserve"> as a debt relief measure for over-indebted Consumers. Over</w:t>
      </w:r>
      <w:r>
        <w:rPr>
          <w:rFonts w:cs="Calibri"/>
          <w:lang w:eastAsia="en-ZA"/>
        </w:rPr>
        <w:t xml:space="preserve"> </w:t>
      </w:r>
      <w:r w:rsidRPr="0011767D">
        <w:rPr>
          <w:rFonts w:cs="Calibri"/>
          <w:lang w:eastAsia="en-ZA"/>
        </w:rPr>
        <w:t xml:space="preserve">indebted Consumers </w:t>
      </w:r>
      <w:r>
        <w:rPr>
          <w:rFonts w:cs="Calibri"/>
          <w:lang w:eastAsia="en-ZA"/>
        </w:rPr>
        <w:t xml:space="preserve">can </w:t>
      </w:r>
      <w:r w:rsidRPr="0011767D">
        <w:rPr>
          <w:rFonts w:cs="Calibri"/>
          <w:lang w:eastAsia="en-ZA"/>
        </w:rPr>
        <w:t xml:space="preserve">apply for </w:t>
      </w:r>
      <w:r>
        <w:rPr>
          <w:rFonts w:cs="Calibri"/>
          <w:lang w:eastAsia="en-ZA"/>
        </w:rPr>
        <w:t>Debt Review</w:t>
      </w:r>
      <w:r w:rsidRPr="0011767D">
        <w:rPr>
          <w:rFonts w:cs="Calibri"/>
          <w:lang w:eastAsia="en-ZA"/>
        </w:rPr>
        <w:t xml:space="preserve"> and this process is conducted by registered Debt Counsellors. </w:t>
      </w:r>
    </w:p>
    <w:p w:rsidR="008A42AE" w:rsidRDefault="008A42AE" w:rsidP="001D73BE">
      <w:pPr>
        <w:spacing w:line="360" w:lineRule="auto"/>
        <w:ind w:left="360"/>
        <w:jc w:val="both"/>
        <w:rPr>
          <w:rFonts w:cs="Calibri"/>
          <w:lang w:eastAsia="en-ZA"/>
        </w:rPr>
      </w:pPr>
      <w:r>
        <w:rPr>
          <w:rFonts w:cs="Calibri"/>
          <w:lang w:eastAsia="en-ZA"/>
        </w:rPr>
        <w:t xml:space="preserve">The withdrawal or termination process </w:t>
      </w:r>
      <w:r w:rsidRPr="0011767D">
        <w:rPr>
          <w:rFonts w:cs="Calibri"/>
          <w:lang w:eastAsia="en-ZA"/>
        </w:rPr>
        <w:t>was never specified in the NCA</w:t>
      </w:r>
      <w:r>
        <w:rPr>
          <w:rFonts w:cs="Calibri"/>
          <w:lang w:eastAsia="en-ZA"/>
        </w:rPr>
        <w:t xml:space="preserve"> and </w:t>
      </w:r>
      <w:r w:rsidRPr="0011767D">
        <w:rPr>
          <w:rFonts w:cs="Calibri"/>
          <w:lang w:eastAsia="en-ZA"/>
        </w:rPr>
        <w:t xml:space="preserve">in the case of </w:t>
      </w:r>
      <w:r w:rsidRPr="0011767D">
        <w:rPr>
          <w:rFonts w:cs="Calibri"/>
          <w:b/>
          <w:i/>
          <w:lang w:eastAsia="en-ZA"/>
        </w:rPr>
        <w:t>Rougier v Nedbank</w:t>
      </w:r>
      <w:r w:rsidRPr="0011767D">
        <w:rPr>
          <w:rFonts w:cs="Calibri"/>
          <w:lang w:eastAsia="en-ZA"/>
        </w:rPr>
        <w:t xml:space="preserve"> the issue of withdrawal or termination from </w:t>
      </w:r>
      <w:r>
        <w:rPr>
          <w:rFonts w:cs="Calibri"/>
          <w:lang w:eastAsia="en-ZA"/>
        </w:rPr>
        <w:t>Debt Review</w:t>
      </w:r>
      <w:r w:rsidRPr="0011767D">
        <w:rPr>
          <w:rFonts w:cs="Calibri"/>
          <w:lang w:eastAsia="en-ZA"/>
        </w:rPr>
        <w:t xml:space="preserve"> by a Debt Counsellor was considered.</w:t>
      </w:r>
      <w:r>
        <w:rPr>
          <w:rFonts w:cs="Calibri"/>
          <w:lang w:eastAsia="en-ZA"/>
        </w:rPr>
        <w:t xml:space="preserve"> </w:t>
      </w:r>
      <w:r w:rsidRPr="0011767D">
        <w:rPr>
          <w:rFonts w:cs="Calibri"/>
          <w:lang w:eastAsia="en-ZA"/>
        </w:rPr>
        <w:t xml:space="preserve">In terms of this </w:t>
      </w:r>
      <w:r>
        <w:rPr>
          <w:rFonts w:cs="Calibri"/>
          <w:lang w:eastAsia="en-ZA"/>
        </w:rPr>
        <w:t>J</w:t>
      </w:r>
      <w:r w:rsidRPr="0011767D">
        <w:rPr>
          <w:rFonts w:cs="Calibri"/>
          <w:lang w:eastAsia="en-ZA"/>
        </w:rPr>
        <w:t>udg</w:t>
      </w:r>
      <w:r>
        <w:rPr>
          <w:rFonts w:cs="Calibri"/>
          <w:lang w:eastAsia="en-ZA"/>
        </w:rPr>
        <w:t>e</w:t>
      </w:r>
      <w:r w:rsidRPr="0011767D">
        <w:rPr>
          <w:rFonts w:cs="Calibri"/>
          <w:lang w:eastAsia="en-ZA"/>
        </w:rPr>
        <w:t xml:space="preserve">ment any act by the Debt Counsellor to terminate </w:t>
      </w:r>
      <w:r>
        <w:rPr>
          <w:rFonts w:cs="Calibri"/>
          <w:lang w:eastAsia="en-ZA"/>
        </w:rPr>
        <w:t>Debt Review</w:t>
      </w:r>
      <w:r w:rsidRPr="0011767D">
        <w:rPr>
          <w:rFonts w:cs="Calibri"/>
          <w:lang w:eastAsia="en-ZA"/>
        </w:rPr>
        <w:t xml:space="preserve"> would be</w:t>
      </w:r>
      <w:r w:rsidRPr="0011767D">
        <w:rPr>
          <w:rFonts w:cs="Calibri"/>
          <w:b/>
          <w:i/>
          <w:lang w:eastAsia="en-ZA"/>
        </w:rPr>
        <w:t xml:space="preserve"> ultra vires </w:t>
      </w:r>
      <w:r w:rsidRPr="0011767D">
        <w:rPr>
          <w:rFonts w:cs="Calibri"/>
          <w:lang w:eastAsia="en-ZA"/>
        </w:rPr>
        <w:t xml:space="preserve">the statutory powers of the Debt Counsellor. The </w:t>
      </w:r>
      <w:r>
        <w:rPr>
          <w:rFonts w:cs="Calibri"/>
          <w:lang w:eastAsia="en-ZA"/>
        </w:rPr>
        <w:t>J</w:t>
      </w:r>
      <w:r w:rsidRPr="0011767D">
        <w:rPr>
          <w:rFonts w:cs="Calibri"/>
          <w:lang w:eastAsia="en-ZA"/>
        </w:rPr>
        <w:t>udg</w:t>
      </w:r>
      <w:r>
        <w:rPr>
          <w:rFonts w:cs="Calibri"/>
          <w:lang w:eastAsia="en-ZA"/>
        </w:rPr>
        <w:t>e</w:t>
      </w:r>
      <w:r w:rsidRPr="0011767D">
        <w:rPr>
          <w:rFonts w:cs="Calibri"/>
          <w:lang w:eastAsia="en-ZA"/>
        </w:rPr>
        <w:t xml:space="preserve">ment did not deal with the issue of whether a </w:t>
      </w:r>
      <w:r>
        <w:rPr>
          <w:rFonts w:cs="Calibri"/>
          <w:lang w:eastAsia="en-ZA"/>
        </w:rPr>
        <w:t xml:space="preserve">Consumer </w:t>
      </w:r>
      <w:r w:rsidRPr="0011767D">
        <w:rPr>
          <w:rFonts w:cs="Calibri"/>
          <w:lang w:eastAsia="en-ZA"/>
        </w:rPr>
        <w:t xml:space="preserve">may terminate or withdraw </w:t>
      </w:r>
      <w:r>
        <w:rPr>
          <w:rFonts w:cs="Calibri"/>
          <w:lang w:eastAsia="en-ZA"/>
        </w:rPr>
        <w:t>from Debt Review</w:t>
      </w:r>
      <w:r w:rsidRPr="0011767D">
        <w:rPr>
          <w:rFonts w:cs="Calibri"/>
          <w:lang w:eastAsia="en-ZA"/>
        </w:rPr>
        <w:t>.</w:t>
      </w:r>
      <w:r>
        <w:rPr>
          <w:rFonts w:cs="Calibri"/>
          <w:lang w:eastAsia="en-ZA"/>
        </w:rPr>
        <w:t xml:space="preserve"> </w:t>
      </w:r>
    </w:p>
    <w:p w:rsidR="008A42AE" w:rsidRDefault="008A42AE" w:rsidP="001D73BE">
      <w:pPr>
        <w:spacing w:line="360" w:lineRule="auto"/>
        <w:ind w:left="360"/>
        <w:jc w:val="both"/>
        <w:rPr>
          <w:rFonts w:cs="Calibri"/>
          <w:lang w:eastAsia="en-ZA"/>
        </w:rPr>
      </w:pPr>
      <w:r w:rsidRPr="0011767D">
        <w:rPr>
          <w:rFonts w:cs="Calibri"/>
          <w:lang w:eastAsia="en-ZA"/>
        </w:rPr>
        <w:t xml:space="preserve">The </w:t>
      </w:r>
      <w:r>
        <w:rPr>
          <w:rFonts w:cs="Calibri"/>
          <w:lang w:eastAsia="en-ZA"/>
        </w:rPr>
        <w:t>C</w:t>
      </w:r>
      <w:r w:rsidRPr="0011767D">
        <w:rPr>
          <w:rFonts w:cs="Calibri"/>
          <w:lang w:eastAsia="en-ZA"/>
        </w:rPr>
        <w:t xml:space="preserve">redit </w:t>
      </w:r>
      <w:r>
        <w:rPr>
          <w:rFonts w:cs="Calibri"/>
          <w:lang w:eastAsia="en-ZA"/>
        </w:rPr>
        <w:t>I</w:t>
      </w:r>
      <w:r w:rsidRPr="0011767D">
        <w:rPr>
          <w:rFonts w:cs="Calibri"/>
          <w:lang w:eastAsia="en-ZA"/>
        </w:rPr>
        <w:t xml:space="preserve">ndustry has in the past developed a voluntary process </w:t>
      </w:r>
      <w:r>
        <w:rPr>
          <w:rFonts w:cs="Calibri"/>
          <w:lang w:eastAsia="en-ZA"/>
        </w:rPr>
        <w:t>(</w:t>
      </w:r>
      <w:r w:rsidRPr="0011767D">
        <w:rPr>
          <w:rFonts w:cs="Calibri"/>
          <w:lang w:eastAsia="en-ZA"/>
        </w:rPr>
        <w:t>Form 17.4</w:t>
      </w:r>
      <w:r>
        <w:rPr>
          <w:rFonts w:cs="Calibri"/>
          <w:lang w:eastAsia="en-ZA"/>
        </w:rPr>
        <w:t>)</w:t>
      </w:r>
      <w:r w:rsidRPr="0011767D">
        <w:rPr>
          <w:rFonts w:cs="Calibri"/>
          <w:lang w:eastAsia="en-ZA"/>
        </w:rPr>
        <w:t xml:space="preserve"> which facilitated the withdrawal </w:t>
      </w:r>
      <w:r>
        <w:rPr>
          <w:rFonts w:cs="Calibri"/>
          <w:lang w:eastAsia="en-ZA"/>
        </w:rPr>
        <w:t>process</w:t>
      </w:r>
      <w:r w:rsidRPr="0011767D">
        <w:rPr>
          <w:rFonts w:cs="Calibri"/>
          <w:lang w:eastAsia="en-ZA"/>
        </w:rPr>
        <w:t xml:space="preserve"> </w:t>
      </w:r>
      <w:r>
        <w:rPr>
          <w:rFonts w:cs="Calibri"/>
          <w:lang w:eastAsia="en-ZA"/>
        </w:rPr>
        <w:t xml:space="preserve">but the abovementioned Judgement and abuse of the process lead to the cancellation of the Industry Agreement regarding voluntary withdrawals. </w:t>
      </w:r>
    </w:p>
    <w:p w:rsidR="008A42AE" w:rsidRPr="005D7E49" w:rsidRDefault="008A42AE" w:rsidP="005D7E49">
      <w:pPr>
        <w:pStyle w:val="ListParagraph"/>
        <w:numPr>
          <w:ilvl w:val="0"/>
          <w:numId w:val="1"/>
        </w:numPr>
        <w:autoSpaceDE w:val="0"/>
        <w:autoSpaceDN w:val="0"/>
        <w:adjustRightInd w:val="0"/>
        <w:spacing w:line="360" w:lineRule="auto"/>
        <w:jc w:val="both"/>
        <w:rPr>
          <w:rFonts w:cs="Calibri"/>
          <w:b/>
          <w:lang w:eastAsia="en-ZA"/>
        </w:rPr>
      </w:pPr>
      <w:r w:rsidRPr="005D7E49">
        <w:rPr>
          <w:rFonts w:cs="Calibri"/>
          <w:b/>
          <w:lang w:eastAsia="en-ZA"/>
        </w:rPr>
        <w:t>The role of the Debt Counsellor</w:t>
      </w:r>
    </w:p>
    <w:p w:rsidR="008A42AE" w:rsidRPr="0011767D" w:rsidRDefault="008A42AE" w:rsidP="005D7E49">
      <w:pPr>
        <w:spacing w:line="360" w:lineRule="auto"/>
        <w:ind w:left="360"/>
        <w:jc w:val="both"/>
        <w:rPr>
          <w:rFonts w:cs="Calibri"/>
        </w:rPr>
      </w:pPr>
      <w:r w:rsidRPr="0011767D">
        <w:rPr>
          <w:rFonts w:cs="Calibri"/>
        </w:rPr>
        <w:t xml:space="preserve">One of the main purposes of the NCA is to provide debt relief to the over-indebted Consumer by affording the </w:t>
      </w:r>
      <w:r>
        <w:rPr>
          <w:rFonts w:cs="Calibri"/>
        </w:rPr>
        <w:t xml:space="preserve">Consumer </w:t>
      </w:r>
      <w:r w:rsidRPr="0011767D">
        <w:rPr>
          <w:rFonts w:cs="Calibri"/>
        </w:rPr>
        <w:t xml:space="preserve">the opportunity to survive the immediate consequences of his or her financial predicament and to attain a manageable financial position. The success of the Act's provisions in this regard depends to a great extent on the effectiveness of the </w:t>
      </w:r>
      <w:r>
        <w:rPr>
          <w:rFonts w:cs="Calibri"/>
        </w:rPr>
        <w:t>Debt Counselling</w:t>
      </w:r>
      <w:r w:rsidRPr="0011767D">
        <w:rPr>
          <w:rFonts w:cs="Calibri"/>
        </w:rPr>
        <w:t xml:space="preserve"> process and the Debt Counsellor whose principal function is to assist the over-indebted </w:t>
      </w:r>
      <w:r>
        <w:rPr>
          <w:rFonts w:cs="Calibri"/>
        </w:rPr>
        <w:t xml:space="preserve">Consumer </w:t>
      </w:r>
      <w:r w:rsidRPr="0011767D">
        <w:rPr>
          <w:rFonts w:cs="Calibri"/>
        </w:rPr>
        <w:t xml:space="preserve">with the process of </w:t>
      </w:r>
      <w:r>
        <w:rPr>
          <w:rFonts w:cs="Calibri"/>
        </w:rPr>
        <w:t>Debt Review</w:t>
      </w:r>
      <w:r w:rsidRPr="0011767D">
        <w:rPr>
          <w:rFonts w:cs="Calibri"/>
        </w:rPr>
        <w:t xml:space="preserve"> as prescribed in </w:t>
      </w:r>
      <w:r>
        <w:rPr>
          <w:rFonts w:cs="Calibri"/>
        </w:rPr>
        <w:t>S</w:t>
      </w:r>
      <w:r w:rsidRPr="0011767D">
        <w:rPr>
          <w:rFonts w:cs="Calibri"/>
        </w:rPr>
        <w:t>ection 86 of the Act.</w:t>
      </w:r>
      <w:r w:rsidRPr="0011767D">
        <w:rPr>
          <w:rStyle w:val="FootnoteReference"/>
          <w:rFonts w:cs="Calibri"/>
        </w:rPr>
        <w:footnoteReference w:id="1"/>
      </w:r>
      <w:r w:rsidRPr="0011767D">
        <w:rPr>
          <w:rFonts w:cs="Calibri"/>
        </w:rPr>
        <w:t xml:space="preserve"> </w:t>
      </w:r>
    </w:p>
    <w:p w:rsidR="008A42AE" w:rsidRDefault="008A42AE" w:rsidP="005D7E49">
      <w:pPr>
        <w:pStyle w:val="western"/>
        <w:shd w:val="clear" w:color="auto" w:fill="FFFFFF"/>
        <w:spacing w:after="0" w:line="360" w:lineRule="auto"/>
        <w:ind w:left="360"/>
        <w:jc w:val="both"/>
        <w:rPr>
          <w:rFonts w:ascii="Calibri" w:hAnsi="Calibri" w:cs="Calibri"/>
          <w:color w:val="242121"/>
          <w:sz w:val="22"/>
          <w:szCs w:val="22"/>
          <w:lang w:val="en-GB"/>
        </w:rPr>
      </w:pPr>
      <w:r w:rsidRPr="0011767D">
        <w:rPr>
          <w:rFonts w:ascii="Calibri" w:hAnsi="Calibri" w:cs="Calibri"/>
          <w:color w:val="242121"/>
          <w:sz w:val="22"/>
          <w:szCs w:val="22"/>
          <w:lang w:val="en-GB"/>
        </w:rPr>
        <w:t xml:space="preserve">“Debt Counsellors play an integral part in the </w:t>
      </w:r>
      <w:r>
        <w:rPr>
          <w:rFonts w:ascii="Calibri" w:hAnsi="Calibri" w:cs="Calibri"/>
          <w:color w:val="242121"/>
          <w:sz w:val="22"/>
          <w:szCs w:val="22"/>
          <w:lang w:val="en-GB"/>
        </w:rPr>
        <w:t>Debt Review</w:t>
      </w:r>
      <w:r w:rsidRPr="0011767D">
        <w:rPr>
          <w:rFonts w:ascii="Calibri" w:hAnsi="Calibri" w:cs="Calibri"/>
          <w:color w:val="242121"/>
          <w:sz w:val="22"/>
          <w:szCs w:val="22"/>
          <w:lang w:val="en-GB"/>
        </w:rPr>
        <w:t xml:space="preserve"> and restructuring process. Only natural persons may be registered as Debt Counsellors (</w:t>
      </w:r>
      <w:r>
        <w:rPr>
          <w:rFonts w:ascii="Calibri" w:hAnsi="Calibri" w:cs="Calibri"/>
          <w:color w:val="242121"/>
          <w:sz w:val="22"/>
          <w:szCs w:val="22"/>
          <w:lang w:val="en-GB"/>
        </w:rPr>
        <w:t>Section</w:t>
      </w:r>
      <w:r w:rsidRPr="0011767D">
        <w:rPr>
          <w:rFonts w:ascii="Calibri" w:hAnsi="Calibri" w:cs="Calibri"/>
          <w:color w:val="242121"/>
          <w:sz w:val="22"/>
          <w:szCs w:val="22"/>
          <w:lang w:val="en-GB"/>
        </w:rPr>
        <w:t xml:space="preserve"> 44(1)). Any person who wishes to act as a Debt Counsellor must apply for registration (</w:t>
      </w:r>
      <w:r>
        <w:rPr>
          <w:rFonts w:ascii="Calibri" w:hAnsi="Calibri" w:cs="Calibri"/>
          <w:color w:val="242121"/>
          <w:sz w:val="22"/>
          <w:szCs w:val="22"/>
          <w:lang w:val="en-GB"/>
        </w:rPr>
        <w:t>Section</w:t>
      </w:r>
      <w:r w:rsidRPr="0011767D">
        <w:rPr>
          <w:rFonts w:ascii="Calibri" w:hAnsi="Calibri" w:cs="Calibri"/>
          <w:color w:val="242121"/>
          <w:sz w:val="22"/>
          <w:szCs w:val="22"/>
          <w:lang w:val="en-GB"/>
        </w:rPr>
        <w:t xml:space="preserve"> 44(2)). No one may offer or engage in the services of a Debt Counsellor in terms of the NCA, nor hold himself or herself out to the public as being authorised to offer such services unless registered (</w:t>
      </w:r>
      <w:r>
        <w:rPr>
          <w:rFonts w:ascii="Calibri" w:hAnsi="Calibri" w:cs="Calibri"/>
          <w:color w:val="242121"/>
          <w:sz w:val="22"/>
          <w:szCs w:val="22"/>
          <w:lang w:val="en-GB"/>
        </w:rPr>
        <w:t xml:space="preserve">Section </w:t>
      </w:r>
      <w:r w:rsidRPr="0011767D">
        <w:rPr>
          <w:rFonts w:ascii="Calibri" w:hAnsi="Calibri" w:cs="Calibri"/>
          <w:color w:val="242121"/>
          <w:sz w:val="22"/>
          <w:szCs w:val="22"/>
          <w:lang w:val="en-GB"/>
        </w:rPr>
        <w:t>44(2)).</w:t>
      </w:r>
      <w:r>
        <w:rPr>
          <w:rFonts w:ascii="Calibri" w:hAnsi="Calibri" w:cs="Calibri"/>
          <w:color w:val="242121"/>
          <w:sz w:val="22"/>
          <w:szCs w:val="22"/>
          <w:lang w:val="en-GB"/>
        </w:rPr>
        <w:t xml:space="preserve"> </w:t>
      </w:r>
      <w:r w:rsidRPr="0011767D">
        <w:rPr>
          <w:rFonts w:ascii="Calibri" w:hAnsi="Calibri" w:cs="Calibri"/>
          <w:color w:val="242121"/>
          <w:sz w:val="22"/>
          <w:szCs w:val="22"/>
          <w:lang w:val="en-GB"/>
        </w:rPr>
        <w:t>Strict personal requirements have to be met before a person may be registered. An applicant for registration must satisfy the prescribed education, experience and competency requirements or do so within the time determined by the Regulator (</w:t>
      </w:r>
      <w:r>
        <w:rPr>
          <w:rFonts w:ascii="Calibri" w:hAnsi="Calibri" w:cs="Calibri"/>
          <w:color w:val="242121"/>
          <w:sz w:val="22"/>
          <w:szCs w:val="22"/>
          <w:lang w:val="en-GB"/>
        </w:rPr>
        <w:t>Section</w:t>
      </w:r>
      <w:r w:rsidRPr="0011767D">
        <w:rPr>
          <w:rFonts w:ascii="Calibri" w:hAnsi="Calibri" w:cs="Calibri"/>
          <w:color w:val="242121"/>
          <w:sz w:val="22"/>
          <w:szCs w:val="22"/>
          <w:lang w:val="en-GB"/>
        </w:rPr>
        <w:t xml:space="preserve"> 44(3)(a) and (b) and </w:t>
      </w:r>
      <w:r>
        <w:rPr>
          <w:rFonts w:ascii="Calibri" w:hAnsi="Calibri" w:cs="Calibri"/>
          <w:color w:val="242121"/>
          <w:sz w:val="22"/>
          <w:szCs w:val="22"/>
          <w:lang w:val="en-GB"/>
        </w:rPr>
        <w:t>R</w:t>
      </w:r>
      <w:r w:rsidRPr="0011767D">
        <w:rPr>
          <w:rFonts w:ascii="Calibri" w:hAnsi="Calibri" w:cs="Calibri"/>
          <w:color w:val="242121"/>
          <w:sz w:val="22"/>
          <w:szCs w:val="22"/>
          <w:lang w:val="en-GB"/>
        </w:rPr>
        <w:t>eg</w:t>
      </w:r>
      <w:r>
        <w:rPr>
          <w:rFonts w:ascii="Calibri" w:hAnsi="Calibri" w:cs="Calibri"/>
          <w:color w:val="242121"/>
          <w:sz w:val="22"/>
          <w:szCs w:val="22"/>
          <w:lang w:val="en-GB"/>
        </w:rPr>
        <w:t>ulation</w:t>
      </w:r>
      <w:r w:rsidRPr="0011767D">
        <w:rPr>
          <w:rFonts w:ascii="Calibri" w:hAnsi="Calibri" w:cs="Calibri"/>
          <w:color w:val="242121"/>
          <w:sz w:val="22"/>
          <w:szCs w:val="22"/>
          <w:lang w:val="en-GB"/>
        </w:rPr>
        <w:t xml:space="preserve"> 10). Certain persons are disqualified from registration (</w:t>
      </w:r>
      <w:r>
        <w:rPr>
          <w:rFonts w:ascii="Calibri" w:hAnsi="Calibri" w:cs="Calibri"/>
          <w:color w:val="242121"/>
          <w:sz w:val="22"/>
          <w:szCs w:val="22"/>
          <w:lang w:val="en-GB"/>
        </w:rPr>
        <w:t>Section</w:t>
      </w:r>
      <w:r w:rsidRPr="0011767D">
        <w:rPr>
          <w:rFonts w:ascii="Calibri" w:hAnsi="Calibri" w:cs="Calibri"/>
          <w:color w:val="242121"/>
          <w:sz w:val="22"/>
          <w:szCs w:val="22"/>
          <w:lang w:val="en-GB"/>
        </w:rPr>
        <w:t xml:space="preserve"> 46(3)).</w:t>
      </w:r>
      <w:r>
        <w:rPr>
          <w:rFonts w:ascii="Calibri" w:hAnsi="Calibri" w:cs="Calibri"/>
          <w:color w:val="242121"/>
          <w:sz w:val="22"/>
          <w:szCs w:val="22"/>
          <w:lang w:val="en-GB"/>
        </w:rPr>
        <w:t xml:space="preserve"> </w:t>
      </w:r>
      <w:r w:rsidRPr="0011767D">
        <w:rPr>
          <w:rFonts w:ascii="Calibri" w:hAnsi="Calibri" w:cs="Calibri"/>
          <w:color w:val="242121"/>
          <w:sz w:val="22"/>
          <w:szCs w:val="22"/>
          <w:lang w:val="en-GB"/>
        </w:rPr>
        <w:t>The disqualifications are aimed at enhancing and preserving the integrity of the office of Debt Counsellor. A duty is further imposed on the Regulator to deregister a person who becomes disqualified after his or her registration (</w:t>
      </w:r>
      <w:r>
        <w:rPr>
          <w:rFonts w:ascii="Calibri" w:hAnsi="Calibri" w:cs="Calibri"/>
          <w:color w:val="242121"/>
          <w:sz w:val="22"/>
          <w:szCs w:val="22"/>
          <w:lang w:val="en-GB"/>
        </w:rPr>
        <w:t>Section</w:t>
      </w:r>
      <w:r w:rsidRPr="0011767D">
        <w:rPr>
          <w:rFonts w:ascii="Calibri" w:hAnsi="Calibri" w:cs="Calibri"/>
          <w:color w:val="242121"/>
          <w:sz w:val="22"/>
          <w:szCs w:val="22"/>
          <w:lang w:val="en-GB"/>
        </w:rPr>
        <w:t xml:space="preserve"> 46(5)).”</w:t>
      </w:r>
      <w:r w:rsidRPr="0011767D">
        <w:rPr>
          <w:rStyle w:val="FootnoteReference"/>
          <w:rFonts w:ascii="Calibri" w:hAnsi="Calibri" w:cs="Calibri"/>
          <w:color w:val="242121"/>
          <w:sz w:val="22"/>
          <w:szCs w:val="22"/>
          <w:lang w:val="en-GB"/>
        </w:rPr>
        <w:footnoteReference w:id="2"/>
      </w:r>
    </w:p>
    <w:p w:rsidR="008A42AE" w:rsidRDefault="008A42AE" w:rsidP="005D7E49">
      <w:pPr>
        <w:pStyle w:val="western"/>
        <w:shd w:val="clear" w:color="auto" w:fill="FFFFFF"/>
        <w:spacing w:after="0" w:line="360" w:lineRule="auto"/>
        <w:ind w:left="360"/>
        <w:jc w:val="both"/>
        <w:rPr>
          <w:rFonts w:ascii="Calibri" w:hAnsi="Calibri" w:cs="Calibri"/>
          <w:color w:val="242121"/>
          <w:sz w:val="22"/>
          <w:szCs w:val="22"/>
          <w:lang w:val="en-GB"/>
        </w:rPr>
      </w:pPr>
    </w:p>
    <w:p w:rsidR="008A42AE" w:rsidRPr="0011767D" w:rsidRDefault="008A42AE" w:rsidP="005D7E49">
      <w:pPr>
        <w:spacing w:line="360" w:lineRule="auto"/>
        <w:ind w:left="360"/>
        <w:rPr>
          <w:rFonts w:cs="Calibri"/>
        </w:rPr>
      </w:pPr>
      <w:r w:rsidRPr="0011767D">
        <w:rPr>
          <w:rFonts w:cs="Calibri"/>
        </w:rPr>
        <w:t>The role and functions of the Debt Counsellor have also been confirmed in case law:</w:t>
      </w:r>
    </w:p>
    <w:p w:rsidR="008A42AE" w:rsidRPr="0011767D" w:rsidRDefault="008A42AE" w:rsidP="00254F9B">
      <w:pPr>
        <w:pStyle w:val="western"/>
        <w:numPr>
          <w:ilvl w:val="0"/>
          <w:numId w:val="13"/>
        </w:numPr>
        <w:shd w:val="clear" w:color="auto" w:fill="FFFFFF"/>
        <w:spacing w:after="0" w:line="360" w:lineRule="auto"/>
        <w:jc w:val="both"/>
        <w:rPr>
          <w:rFonts w:ascii="Calibri" w:hAnsi="Calibri" w:cs="Calibri"/>
          <w:color w:val="242121"/>
          <w:sz w:val="22"/>
          <w:szCs w:val="22"/>
          <w:lang w:val="en-GB"/>
        </w:rPr>
      </w:pPr>
      <w:r w:rsidRPr="0011767D">
        <w:rPr>
          <w:rFonts w:ascii="Calibri" w:hAnsi="Calibri" w:cs="Calibri"/>
          <w:color w:val="242121"/>
          <w:sz w:val="22"/>
          <w:szCs w:val="22"/>
          <w:lang w:val="en-GB"/>
        </w:rPr>
        <w:t xml:space="preserve">“A </w:t>
      </w:r>
      <w:r>
        <w:rPr>
          <w:rFonts w:ascii="Calibri" w:hAnsi="Calibri" w:cs="Calibri"/>
          <w:color w:val="242121"/>
          <w:sz w:val="22"/>
          <w:szCs w:val="22"/>
          <w:lang w:val="en-GB"/>
        </w:rPr>
        <w:t xml:space="preserve">Consumer </w:t>
      </w:r>
      <w:r w:rsidRPr="0011767D">
        <w:rPr>
          <w:rFonts w:ascii="Calibri" w:hAnsi="Calibri" w:cs="Calibri"/>
          <w:color w:val="242121"/>
          <w:sz w:val="22"/>
          <w:szCs w:val="22"/>
          <w:lang w:val="en-GB"/>
        </w:rPr>
        <w:t>cannot bypass the Debt Counsellor to access the Magistrates’ Court.</w:t>
      </w:r>
      <w:r w:rsidRPr="0011767D">
        <w:rPr>
          <w:rStyle w:val="FootnoteReference"/>
          <w:rFonts w:ascii="Calibri" w:hAnsi="Calibri" w:cs="Calibri"/>
          <w:color w:val="242121"/>
          <w:sz w:val="22"/>
          <w:szCs w:val="22"/>
          <w:lang w:val="en-GB"/>
        </w:rPr>
        <w:footnoteReference w:id="3"/>
      </w:r>
      <w:r>
        <w:rPr>
          <w:rFonts w:ascii="Calibri" w:hAnsi="Calibri" w:cs="Calibri"/>
          <w:color w:val="242121"/>
          <w:sz w:val="22"/>
          <w:szCs w:val="22"/>
          <w:lang w:val="en-GB"/>
        </w:rPr>
        <w:t>”</w:t>
      </w:r>
    </w:p>
    <w:p w:rsidR="008A42AE" w:rsidRPr="0011767D" w:rsidRDefault="008A42AE" w:rsidP="00254F9B">
      <w:pPr>
        <w:pStyle w:val="western"/>
        <w:numPr>
          <w:ilvl w:val="0"/>
          <w:numId w:val="13"/>
        </w:numPr>
        <w:shd w:val="clear" w:color="auto" w:fill="FFFFFF"/>
        <w:spacing w:after="0" w:line="360" w:lineRule="auto"/>
        <w:jc w:val="both"/>
        <w:rPr>
          <w:rFonts w:ascii="Calibri" w:hAnsi="Calibri" w:cs="Calibri"/>
          <w:color w:val="242121"/>
          <w:sz w:val="22"/>
          <w:szCs w:val="22"/>
        </w:rPr>
      </w:pPr>
      <w:r w:rsidRPr="0011767D">
        <w:rPr>
          <w:rFonts w:ascii="Calibri" w:hAnsi="Calibri" w:cs="Calibri"/>
          <w:color w:val="242121"/>
          <w:sz w:val="22"/>
          <w:szCs w:val="22"/>
        </w:rPr>
        <w:t xml:space="preserve">“Not only that, but] the </w:t>
      </w:r>
      <w:r>
        <w:rPr>
          <w:rFonts w:ascii="Calibri" w:hAnsi="Calibri" w:cs="Calibri"/>
          <w:color w:val="242121"/>
          <w:sz w:val="22"/>
          <w:szCs w:val="22"/>
        </w:rPr>
        <w:t xml:space="preserve">Consumer </w:t>
      </w:r>
      <w:r w:rsidRPr="0011767D">
        <w:rPr>
          <w:rFonts w:ascii="Calibri" w:hAnsi="Calibri" w:cs="Calibri"/>
          <w:color w:val="242121"/>
          <w:sz w:val="22"/>
          <w:szCs w:val="22"/>
        </w:rPr>
        <w:t xml:space="preserve">has no power to advance the </w:t>
      </w:r>
      <w:r>
        <w:rPr>
          <w:rFonts w:ascii="Calibri" w:hAnsi="Calibri" w:cs="Calibri"/>
          <w:color w:val="242121"/>
          <w:sz w:val="22"/>
          <w:szCs w:val="22"/>
        </w:rPr>
        <w:t>Debt Review</w:t>
      </w:r>
      <w:r w:rsidRPr="0011767D">
        <w:rPr>
          <w:rFonts w:ascii="Calibri" w:hAnsi="Calibri" w:cs="Calibri"/>
          <w:color w:val="242121"/>
          <w:sz w:val="22"/>
          <w:szCs w:val="22"/>
        </w:rPr>
        <w:t xml:space="preserve"> process or to ensure that it takes place properly. The process is driven entirely by the Debt Counsellor.</w:t>
      </w:r>
      <w:r w:rsidRPr="0011767D">
        <w:rPr>
          <w:rStyle w:val="FootnoteReference"/>
          <w:rFonts w:ascii="Calibri" w:hAnsi="Calibri" w:cs="Calibri"/>
          <w:color w:val="242121"/>
          <w:sz w:val="22"/>
          <w:szCs w:val="22"/>
        </w:rPr>
        <w:footnoteReference w:id="4"/>
      </w:r>
      <w:r w:rsidRPr="0011767D">
        <w:rPr>
          <w:rFonts w:ascii="Calibri" w:hAnsi="Calibri" w:cs="Calibri"/>
          <w:color w:val="242121"/>
          <w:sz w:val="22"/>
          <w:szCs w:val="22"/>
        </w:rPr>
        <w:t>”</w:t>
      </w:r>
    </w:p>
    <w:p w:rsidR="008A42AE" w:rsidRPr="0011767D" w:rsidRDefault="008A42AE" w:rsidP="00254F9B">
      <w:pPr>
        <w:pStyle w:val="western"/>
        <w:numPr>
          <w:ilvl w:val="0"/>
          <w:numId w:val="13"/>
        </w:numPr>
        <w:shd w:val="clear" w:color="auto" w:fill="FFFFFF"/>
        <w:spacing w:after="0" w:line="360" w:lineRule="auto"/>
        <w:jc w:val="both"/>
        <w:rPr>
          <w:rFonts w:ascii="Calibri" w:hAnsi="Calibri" w:cs="Calibri"/>
          <w:color w:val="242121"/>
          <w:sz w:val="22"/>
          <w:szCs w:val="22"/>
        </w:rPr>
      </w:pPr>
      <w:r w:rsidRPr="0011767D">
        <w:rPr>
          <w:rFonts w:ascii="Calibri" w:hAnsi="Calibri" w:cs="Calibri"/>
          <w:sz w:val="22"/>
          <w:szCs w:val="22"/>
        </w:rPr>
        <w:t>“</w:t>
      </w:r>
      <w:r w:rsidRPr="0011767D">
        <w:rPr>
          <w:rFonts w:ascii="Calibri" w:hAnsi="Calibri" w:cs="Calibri"/>
          <w:iCs/>
          <w:sz w:val="22"/>
          <w:szCs w:val="22"/>
          <w:lang w:val="en-GB"/>
        </w:rPr>
        <w:t xml:space="preserve">The Debt Counsellor is charged to determine whether the </w:t>
      </w:r>
      <w:r>
        <w:rPr>
          <w:rFonts w:ascii="Calibri" w:hAnsi="Calibri" w:cs="Calibri"/>
          <w:iCs/>
          <w:sz w:val="22"/>
          <w:szCs w:val="22"/>
          <w:lang w:val="en-GB"/>
        </w:rPr>
        <w:t>Consumer ‘</w:t>
      </w:r>
      <w:r w:rsidRPr="0011767D">
        <w:rPr>
          <w:rFonts w:ascii="Calibri" w:hAnsi="Calibri" w:cs="Calibri"/>
          <w:iCs/>
          <w:sz w:val="22"/>
          <w:szCs w:val="22"/>
          <w:lang w:val="en-GB"/>
        </w:rPr>
        <w:t>‘appears</w:t>
      </w:r>
      <w:r>
        <w:rPr>
          <w:rFonts w:ascii="Calibri" w:hAnsi="Calibri" w:cs="Calibri"/>
          <w:iCs/>
          <w:sz w:val="22"/>
          <w:szCs w:val="22"/>
          <w:lang w:val="en-GB"/>
        </w:rPr>
        <w:t>’’</w:t>
      </w:r>
      <w:r w:rsidRPr="0011767D">
        <w:rPr>
          <w:rFonts w:ascii="Calibri" w:hAnsi="Calibri" w:cs="Calibri"/>
          <w:iCs/>
          <w:sz w:val="22"/>
          <w:szCs w:val="22"/>
          <w:lang w:val="en-GB"/>
        </w:rPr>
        <w:t xml:space="preserve"> to be over-indebted, and must issue a proposal recommending any or all of the orders set out in </w:t>
      </w:r>
      <w:r>
        <w:rPr>
          <w:rFonts w:ascii="Calibri" w:hAnsi="Calibri" w:cs="Calibri"/>
          <w:iCs/>
          <w:sz w:val="22"/>
          <w:szCs w:val="22"/>
          <w:lang w:val="en-GB"/>
        </w:rPr>
        <w:t>S</w:t>
      </w:r>
      <w:r w:rsidRPr="0011767D">
        <w:rPr>
          <w:rFonts w:ascii="Calibri" w:hAnsi="Calibri" w:cs="Calibri"/>
          <w:iCs/>
          <w:sz w:val="22"/>
          <w:szCs w:val="22"/>
          <w:lang w:val="en-GB"/>
        </w:rPr>
        <w:t xml:space="preserve">ection 86(7)(c). The Debt Counsellor’s involvement in the </w:t>
      </w:r>
      <w:r>
        <w:rPr>
          <w:rFonts w:ascii="Calibri" w:hAnsi="Calibri" w:cs="Calibri"/>
          <w:iCs/>
          <w:sz w:val="22"/>
          <w:szCs w:val="22"/>
          <w:lang w:val="en-GB"/>
        </w:rPr>
        <w:t>Debt Review</w:t>
      </w:r>
      <w:r w:rsidRPr="0011767D">
        <w:rPr>
          <w:rFonts w:ascii="Calibri" w:hAnsi="Calibri" w:cs="Calibri"/>
          <w:iCs/>
          <w:sz w:val="22"/>
          <w:szCs w:val="22"/>
          <w:lang w:val="en-GB"/>
        </w:rPr>
        <w:t xml:space="preserve"> is no end in itself but part of an on-going process culminating in the order of the Magistrate’s Court under </w:t>
      </w:r>
      <w:r>
        <w:rPr>
          <w:rFonts w:ascii="Calibri" w:hAnsi="Calibri" w:cs="Calibri"/>
          <w:iCs/>
          <w:sz w:val="22"/>
          <w:szCs w:val="22"/>
          <w:lang w:val="en-GB"/>
        </w:rPr>
        <w:t>S</w:t>
      </w:r>
      <w:r w:rsidRPr="0011767D">
        <w:rPr>
          <w:rFonts w:ascii="Calibri" w:hAnsi="Calibri" w:cs="Calibri"/>
          <w:iCs/>
          <w:sz w:val="22"/>
          <w:szCs w:val="22"/>
          <w:lang w:val="en-GB"/>
        </w:rPr>
        <w:t xml:space="preserve">ection 87 (or a voluntary rearrangement under </w:t>
      </w:r>
      <w:r>
        <w:rPr>
          <w:rFonts w:ascii="Calibri" w:hAnsi="Calibri" w:cs="Calibri"/>
          <w:iCs/>
          <w:sz w:val="22"/>
          <w:szCs w:val="22"/>
          <w:lang w:val="en-GB"/>
        </w:rPr>
        <w:t>S</w:t>
      </w:r>
      <w:r w:rsidRPr="0011767D">
        <w:rPr>
          <w:rFonts w:ascii="Calibri" w:hAnsi="Calibri" w:cs="Calibri"/>
          <w:iCs/>
          <w:sz w:val="22"/>
          <w:szCs w:val="22"/>
          <w:lang w:val="en-GB"/>
        </w:rPr>
        <w:t xml:space="preserve">ections 86(7)(b) and 86(8)(a). Only then can the </w:t>
      </w:r>
      <w:r>
        <w:rPr>
          <w:rFonts w:ascii="Calibri" w:hAnsi="Calibri" w:cs="Calibri"/>
          <w:iCs/>
          <w:sz w:val="22"/>
          <w:szCs w:val="22"/>
          <w:lang w:val="en-GB"/>
        </w:rPr>
        <w:t>Debt Review</w:t>
      </w:r>
      <w:r w:rsidRPr="0011767D">
        <w:rPr>
          <w:rFonts w:ascii="Calibri" w:hAnsi="Calibri" w:cs="Calibri"/>
          <w:iCs/>
          <w:sz w:val="22"/>
          <w:szCs w:val="22"/>
          <w:lang w:val="en-GB"/>
        </w:rPr>
        <w:t xml:space="preserve"> be said to be complete</w:t>
      </w:r>
      <w:r>
        <w:rPr>
          <w:rFonts w:ascii="Calibri" w:hAnsi="Calibri" w:cs="Calibri"/>
          <w:iCs/>
          <w:sz w:val="22"/>
          <w:szCs w:val="22"/>
          <w:lang w:val="en-GB"/>
        </w:rPr>
        <w:t>.</w:t>
      </w:r>
      <w:r w:rsidRPr="0011767D">
        <w:rPr>
          <w:rStyle w:val="FootnoteReference"/>
          <w:rFonts w:ascii="Calibri" w:hAnsi="Calibri" w:cs="Calibri"/>
          <w:sz w:val="22"/>
          <w:szCs w:val="22"/>
          <w:lang w:val="en-GB"/>
        </w:rPr>
        <w:footnoteReference w:id="5"/>
      </w:r>
      <w:r>
        <w:rPr>
          <w:rFonts w:ascii="Calibri" w:hAnsi="Calibri" w:cs="Calibri"/>
          <w:iCs/>
          <w:sz w:val="22"/>
          <w:szCs w:val="22"/>
          <w:lang w:val="en-GB"/>
        </w:rPr>
        <w:t>”</w:t>
      </w:r>
    </w:p>
    <w:p w:rsidR="008A42AE" w:rsidRPr="005D7E49" w:rsidRDefault="008A42AE" w:rsidP="00254F9B">
      <w:pPr>
        <w:pStyle w:val="ListParagraph"/>
        <w:numPr>
          <w:ilvl w:val="0"/>
          <w:numId w:val="13"/>
        </w:numPr>
        <w:spacing w:after="200" w:line="360" w:lineRule="auto"/>
        <w:jc w:val="both"/>
        <w:rPr>
          <w:rFonts w:cs="Calibri"/>
          <w:lang w:val="en-GB"/>
        </w:rPr>
      </w:pPr>
      <w:r w:rsidRPr="0011767D">
        <w:rPr>
          <w:rFonts w:cs="Calibri"/>
        </w:rPr>
        <w:t xml:space="preserve">“A Debt Counsellor who refers an application to the court under </w:t>
      </w:r>
      <w:r>
        <w:rPr>
          <w:rFonts w:cs="Calibri"/>
        </w:rPr>
        <w:t>S</w:t>
      </w:r>
      <w:r w:rsidRPr="0011767D">
        <w:rPr>
          <w:rFonts w:cs="Calibri"/>
        </w:rPr>
        <w:t xml:space="preserve">ection 86(8)(b) (and 86(7)(c)) is not a litigant in the ordinary sense. By referring a matter to the </w:t>
      </w:r>
      <w:r>
        <w:rPr>
          <w:rFonts w:cs="Calibri"/>
        </w:rPr>
        <w:t>C</w:t>
      </w:r>
      <w:r w:rsidRPr="0011767D">
        <w:rPr>
          <w:rFonts w:cs="Calibri"/>
        </w:rPr>
        <w:t>ourt and by making a recommendation, he or she fulfils a statutory obligation.</w:t>
      </w:r>
      <w:r w:rsidRPr="0011767D">
        <w:rPr>
          <w:rStyle w:val="FootnoteReference"/>
          <w:rFonts w:cs="Calibri"/>
        </w:rPr>
        <w:footnoteReference w:id="6"/>
      </w:r>
      <w:r w:rsidRPr="0011767D">
        <w:rPr>
          <w:rFonts w:cs="Calibri"/>
        </w:rPr>
        <w:t>”</w:t>
      </w:r>
    </w:p>
    <w:p w:rsidR="008A42AE" w:rsidRPr="005D7E49" w:rsidRDefault="008A42AE" w:rsidP="005D7E49">
      <w:pPr>
        <w:pStyle w:val="ListParagraph"/>
        <w:spacing w:after="200" w:line="360" w:lineRule="auto"/>
        <w:rPr>
          <w:rFonts w:cs="Calibri"/>
          <w:lang w:val="en-GB"/>
        </w:rPr>
      </w:pPr>
    </w:p>
    <w:p w:rsidR="008A42AE" w:rsidRPr="005D7E49" w:rsidRDefault="008A42AE" w:rsidP="005D7E49">
      <w:pPr>
        <w:pStyle w:val="ListParagraph"/>
        <w:numPr>
          <w:ilvl w:val="0"/>
          <w:numId w:val="1"/>
        </w:numPr>
        <w:autoSpaceDE w:val="0"/>
        <w:autoSpaceDN w:val="0"/>
        <w:adjustRightInd w:val="0"/>
        <w:spacing w:line="360" w:lineRule="auto"/>
        <w:jc w:val="both"/>
        <w:rPr>
          <w:rFonts w:cs="Calibri"/>
          <w:b/>
          <w:lang w:eastAsia="en-ZA"/>
        </w:rPr>
      </w:pPr>
      <w:r>
        <w:rPr>
          <w:rFonts w:cs="Calibri"/>
          <w:b/>
          <w:lang w:eastAsia="en-ZA"/>
        </w:rPr>
        <w:t xml:space="preserve">When can a Consumer exit the Debt Review process? </w:t>
      </w:r>
    </w:p>
    <w:p w:rsidR="008A42AE" w:rsidRPr="0011767D" w:rsidRDefault="008A42AE" w:rsidP="005D7E49">
      <w:pPr>
        <w:spacing w:line="360" w:lineRule="auto"/>
        <w:ind w:left="360"/>
        <w:jc w:val="both"/>
        <w:rPr>
          <w:rFonts w:cs="Calibri"/>
        </w:rPr>
      </w:pPr>
      <w:r w:rsidRPr="0011767D">
        <w:rPr>
          <w:rFonts w:cs="Calibri"/>
        </w:rPr>
        <w:t xml:space="preserve">The NCA originally only made provision for Consumers to exit Debt Restructuring after they have paid their debts in full and a </w:t>
      </w:r>
      <w:r>
        <w:rPr>
          <w:rFonts w:cs="Calibri"/>
        </w:rPr>
        <w:t xml:space="preserve">Clearance Certificate </w:t>
      </w:r>
      <w:r w:rsidRPr="0011767D">
        <w:rPr>
          <w:rFonts w:cs="Calibri"/>
        </w:rPr>
        <w:t xml:space="preserve">had been issued in terms of Sections 71 of the NCA. This had the practical effect that in instances where for example a home loan formed part of the </w:t>
      </w:r>
      <w:r>
        <w:rPr>
          <w:rFonts w:cs="Calibri"/>
        </w:rPr>
        <w:t>Debt Review</w:t>
      </w:r>
      <w:r w:rsidRPr="0011767D">
        <w:rPr>
          <w:rFonts w:cs="Calibri"/>
        </w:rPr>
        <w:t xml:space="preserve">, the </w:t>
      </w:r>
      <w:r>
        <w:rPr>
          <w:rFonts w:cs="Calibri"/>
        </w:rPr>
        <w:t xml:space="preserve">Consumer </w:t>
      </w:r>
      <w:r w:rsidRPr="0011767D">
        <w:rPr>
          <w:rFonts w:cs="Calibri"/>
        </w:rPr>
        <w:t xml:space="preserve">found himself in a situation where he had to remain in </w:t>
      </w:r>
      <w:r>
        <w:rPr>
          <w:rFonts w:cs="Calibri"/>
        </w:rPr>
        <w:t>Debt Review</w:t>
      </w:r>
      <w:r w:rsidRPr="0011767D">
        <w:rPr>
          <w:rFonts w:cs="Calibri"/>
        </w:rPr>
        <w:t xml:space="preserve"> for the duration of the loan – which could be for as long as 360 months (30 years)</w:t>
      </w:r>
      <w:r>
        <w:rPr>
          <w:rFonts w:cs="Calibri"/>
        </w:rPr>
        <w:t>.</w:t>
      </w:r>
      <w:r w:rsidRPr="0011767D">
        <w:rPr>
          <w:rFonts w:cs="Calibri"/>
        </w:rPr>
        <w:t xml:space="preserve"> The NCA Amendment Act now </w:t>
      </w:r>
      <w:r>
        <w:rPr>
          <w:rFonts w:cs="Calibri"/>
        </w:rPr>
        <w:t xml:space="preserve">addresses this </w:t>
      </w:r>
      <w:r w:rsidRPr="0011767D">
        <w:rPr>
          <w:rFonts w:cs="Calibri"/>
        </w:rPr>
        <w:t xml:space="preserve">in </w:t>
      </w:r>
      <w:r>
        <w:rPr>
          <w:rFonts w:cs="Calibri"/>
        </w:rPr>
        <w:t>S</w:t>
      </w:r>
      <w:r w:rsidRPr="0011767D">
        <w:rPr>
          <w:rFonts w:cs="Calibri"/>
        </w:rPr>
        <w:t>ection 71(1)</w:t>
      </w:r>
      <w:r>
        <w:rPr>
          <w:rFonts w:cs="Calibri"/>
        </w:rPr>
        <w:t>:</w:t>
      </w:r>
      <w:r w:rsidRPr="0011767D">
        <w:rPr>
          <w:rFonts w:cs="Calibri"/>
        </w:rPr>
        <w:t xml:space="preserve"> </w:t>
      </w:r>
    </w:p>
    <w:p w:rsidR="008A42AE" w:rsidRPr="0011767D" w:rsidRDefault="008A42AE" w:rsidP="005D7E49">
      <w:pPr>
        <w:spacing w:line="360" w:lineRule="auto"/>
        <w:ind w:left="720"/>
        <w:jc w:val="both"/>
        <w:rPr>
          <w:rFonts w:cs="Calibri"/>
          <w:i/>
        </w:rPr>
      </w:pPr>
      <w:r w:rsidRPr="0011767D">
        <w:rPr>
          <w:rFonts w:cs="Calibri"/>
          <w:i/>
        </w:rPr>
        <w:t>(1)</w:t>
      </w:r>
      <w:r>
        <w:rPr>
          <w:rFonts w:cs="Calibri"/>
          <w:i/>
        </w:rPr>
        <w:t xml:space="preserve"> </w:t>
      </w:r>
      <w:r w:rsidRPr="0011767D">
        <w:rPr>
          <w:rFonts w:cs="Calibri"/>
          <w:i/>
        </w:rPr>
        <w:t xml:space="preserve">A </w:t>
      </w:r>
      <w:r>
        <w:rPr>
          <w:rFonts w:cs="Calibri"/>
          <w:i/>
        </w:rPr>
        <w:t xml:space="preserve">Consumer </w:t>
      </w:r>
      <w:r w:rsidRPr="0011767D">
        <w:rPr>
          <w:rFonts w:cs="Calibri"/>
          <w:i/>
        </w:rPr>
        <w:t xml:space="preserve">whose debts have been re-arranged in terms of Part D of this Chapter must be issued with a </w:t>
      </w:r>
      <w:r>
        <w:rPr>
          <w:rFonts w:cs="Calibri"/>
          <w:i/>
        </w:rPr>
        <w:t xml:space="preserve">Clearance Certificate </w:t>
      </w:r>
      <w:r w:rsidRPr="0011767D">
        <w:rPr>
          <w:rFonts w:cs="Calibri"/>
          <w:i/>
        </w:rPr>
        <w:t xml:space="preserve">by a debt counsellor within seven days after the </w:t>
      </w:r>
      <w:r>
        <w:rPr>
          <w:rFonts w:cs="Calibri"/>
          <w:i/>
        </w:rPr>
        <w:t xml:space="preserve">Consumer </w:t>
      </w:r>
      <w:r w:rsidRPr="0011767D">
        <w:rPr>
          <w:rFonts w:cs="Calibri"/>
          <w:i/>
        </w:rPr>
        <w:t xml:space="preserve">has – </w:t>
      </w:r>
    </w:p>
    <w:p w:rsidR="008A42AE" w:rsidRPr="0011767D" w:rsidRDefault="008A42AE" w:rsidP="005D7E49">
      <w:pPr>
        <w:spacing w:line="360" w:lineRule="auto"/>
        <w:ind w:left="1440"/>
        <w:jc w:val="both"/>
        <w:rPr>
          <w:rFonts w:cs="Calibri"/>
          <w:i/>
        </w:rPr>
      </w:pPr>
      <w:r w:rsidRPr="0011767D">
        <w:rPr>
          <w:rFonts w:cs="Calibri"/>
          <w:i/>
        </w:rPr>
        <w:t>(a)</w:t>
      </w:r>
      <w:r>
        <w:rPr>
          <w:rFonts w:cs="Calibri"/>
          <w:i/>
        </w:rPr>
        <w:t xml:space="preserve"> S</w:t>
      </w:r>
      <w:r w:rsidRPr="0011767D">
        <w:rPr>
          <w:rFonts w:cs="Calibri"/>
          <w:i/>
        </w:rPr>
        <w:t>atisfied all the obligations under every credit agreement that was subject to that debt re-arrangement order or agreement in accordance with that order or arrangement; or</w:t>
      </w:r>
    </w:p>
    <w:p w:rsidR="008A42AE" w:rsidRDefault="008A42AE" w:rsidP="005D7E49">
      <w:pPr>
        <w:spacing w:line="360" w:lineRule="auto"/>
        <w:ind w:left="1440"/>
        <w:jc w:val="both"/>
        <w:rPr>
          <w:rFonts w:cs="Calibri"/>
          <w:i/>
        </w:rPr>
      </w:pPr>
      <w:r w:rsidRPr="0011767D">
        <w:rPr>
          <w:rFonts w:cs="Calibri"/>
          <w:i/>
        </w:rPr>
        <w:t>(b)</w:t>
      </w:r>
      <w:r>
        <w:rPr>
          <w:rFonts w:cs="Calibri"/>
          <w:i/>
        </w:rPr>
        <w:t xml:space="preserve"> D</w:t>
      </w:r>
      <w:r w:rsidRPr="0011767D">
        <w:rPr>
          <w:rFonts w:cs="Calibri"/>
          <w:i/>
        </w:rPr>
        <w:t>emonstrated</w:t>
      </w:r>
      <w:r>
        <w:rPr>
          <w:rFonts w:cs="Calibri"/>
          <w:i/>
        </w:rPr>
        <w:t>:</w:t>
      </w:r>
    </w:p>
    <w:p w:rsidR="008A42AE" w:rsidRDefault="008A42AE" w:rsidP="00701F93">
      <w:pPr>
        <w:pStyle w:val="ListParagraph"/>
        <w:numPr>
          <w:ilvl w:val="0"/>
          <w:numId w:val="17"/>
        </w:numPr>
        <w:spacing w:line="360" w:lineRule="auto"/>
        <w:jc w:val="both"/>
        <w:rPr>
          <w:rFonts w:cs="Calibri"/>
          <w:i/>
        </w:rPr>
      </w:pPr>
      <w:r w:rsidRPr="00701F93">
        <w:rPr>
          <w:rFonts w:cs="Calibri"/>
          <w:i/>
        </w:rPr>
        <w:t xml:space="preserve">financial ability to satisfy </w:t>
      </w:r>
      <w:r>
        <w:rPr>
          <w:rFonts w:cs="Calibri"/>
          <w:i/>
        </w:rPr>
        <w:t xml:space="preserve">the future obligations in terms of the re-arrangement order or agreement under- </w:t>
      </w:r>
    </w:p>
    <w:p w:rsidR="008A42AE" w:rsidRDefault="008A42AE" w:rsidP="00701F93">
      <w:pPr>
        <w:spacing w:line="360" w:lineRule="auto"/>
        <w:ind w:left="2880"/>
        <w:jc w:val="both"/>
        <w:rPr>
          <w:rFonts w:cs="Calibri"/>
          <w:i/>
        </w:rPr>
      </w:pPr>
      <w:r>
        <w:rPr>
          <w:rFonts w:cs="Calibri"/>
          <w:i/>
        </w:rPr>
        <w:t xml:space="preserve">(aa) a mortgage agreement which secures a credit agreement for the   purchase or improvement of immovable property; or  </w:t>
      </w:r>
    </w:p>
    <w:p w:rsidR="008A42AE" w:rsidRPr="00701F93" w:rsidRDefault="008A42AE" w:rsidP="00701F93">
      <w:pPr>
        <w:spacing w:line="360" w:lineRule="auto"/>
        <w:ind w:left="2880"/>
        <w:jc w:val="both"/>
        <w:rPr>
          <w:rFonts w:cs="Calibri"/>
          <w:i/>
        </w:rPr>
      </w:pPr>
      <w:r>
        <w:rPr>
          <w:rFonts w:cs="Calibri"/>
          <w:i/>
        </w:rPr>
        <w:t>(bb) any long term agreement as may be prescribed;</w:t>
      </w:r>
    </w:p>
    <w:p w:rsidR="008A42AE" w:rsidRDefault="008A42AE" w:rsidP="00701F93">
      <w:pPr>
        <w:pStyle w:val="ListParagraph"/>
        <w:numPr>
          <w:ilvl w:val="0"/>
          <w:numId w:val="17"/>
        </w:numPr>
        <w:spacing w:line="360" w:lineRule="auto"/>
        <w:jc w:val="both"/>
        <w:rPr>
          <w:rFonts w:cs="Calibri"/>
          <w:i/>
        </w:rPr>
      </w:pPr>
      <w:r>
        <w:rPr>
          <w:rFonts w:cs="Calibri"/>
          <w:i/>
        </w:rPr>
        <w:t xml:space="preserve">that there are no arrears on the re-arrangement contemplated in subparagraph (i); and </w:t>
      </w:r>
    </w:p>
    <w:p w:rsidR="008A42AE" w:rsidRDefault="008A42AE" w:rsidP="00701F93">
      <w:pPr>
        <w:pStyle w:val="ListParagraph"/>
        <w:numPr>
          <w:ilvl w:val="0"/>
          <w:numId w:val="17"/>
        </w:numPr>
        <w:spacing w:line="360" w:lineRule="auto"/>
        <w:jc w:val="both"/>
        <w:rPr>
          <w:rFonts w:cs="Calibri"/>
          <w:i/>
        </w:rPr>
      </w:pPr>
      <w:r>
        <w:rPr>
          <w:rFonts w:cs="Calibri"/>
          <w:i/>
        </w:rPr>
        <w:t>that all obligations under every credit agreement included in the re-arrangement order or agreement other than those contemplated in subparagraph (i), have been settled in full.</w:t>
      </w:r>
    </w:p>
    <w:p w:rsidR="008A42AE" w:rsidRPr="00701F93" w:rsidRDefault="008A42AE" w:rsidP="00171313">
      <w:pPr>
        <w:pStyle w:val="ListParagraph"/>
        <w:spacing w:line="360" w:lineRule="auto"/>
        <w:ind w:left="2928"/>
        <w:jc w:val="both"/>
        <w:rPr>
          <w:rFonts w:cs="Calibri"/>
          <w:i/>
        </w:rPr>
      </w:pPr>
    </w:p>
    <w:p w:rsidR="008A42AE" w:rsidRPr="00BE6932" w:rsidRDefault="008A42AE" w:rsidP="00BE6932">
      <w:pPr>
        <w:pStyle w:val="ListParagraph"/>
        <w:numPr>
          <w:ilvl w:val="0"/>
          <w:numId w:val="1"/>
        </w:numPr>
        <w:autoSpaceDE w:val="0"/>
        <w:autoSpaceDN w:val="0"/>
        <w:adjustRightInd w:val="0"/>
        <w:spacing w:line="360" w:lineRule="auto"/>
        <w:jc w:val="both"/>
        <w:rPr>
          <w:rFonts w:cs="Calibri"/>
          <w:b/>
          <w:lang w:eastAsia="en-ZA"/>
        </w:rPr>
      </w:pPr>
      <w:r w:rsidRPr="00BE6932">
        <w:rPr>
          <w:rFonts w:cs="Calibri"/>
          <w:b/>
          <w:lang w:eastAsia="en-ZA"/>
        </w:rPr>
        <w:t xml:space="preserve">Can a Debt Counsellor terminate a </w:t>
      </w:r>
      <w:r>
        <w:rPr>
          <w:rFonts w:cs="Calibri"/>
          <w:b/>
          <w:lang w:eastAsia="en-ZA"/>
        </w:rPr>
        <w:t>Debt Review</w:t>
      </w:r>
      <w:r w:rsidRPr="00BE6932">
        <w:rPr>
          <w:rFonts w:cs="Calibri"/>
          <w:b/>
          <w:lang w:eastAsia="en-ZA"/>
        </w:rPr>
        <w:t>?</w:t>
      </w:r>
    </w:p>
    <w:p w:rsidR="008A42AE" w:rsidRDefault="008A42AE" w:rsidP="001D73BE">
      <w:pPr>
        <w:spacing w:line="360" w:lineRule="auto"/>
        <w:ind w:left="360"/>
        <w:jc w:val="both"/>
        <w:rPr>
          <w:rFonts w:cs="Calibri"/>
          <w:lang w:eastAsia="en-ZA"/>
        </w:rPr>
      </w:pPr>
      <w:r>
        <w:rPr>
          <w:rFonts w:cs="Calibri"/>
          <w:lang w:eastAsia="en-ZA"/>
        </w:rPr>
        <w:t xml:space="preserve">Based on the </w:t>
      </w:r>
      <w:r w:rsidRPr="00BE6932">
        <w:rPr>
          <w:rFonts w:cs="Calibri"/>
          <w:b/>
          <w:lang w:eastAsia="en-ZA"/>
        </w:rPr>
        <w:t>Rougier v Nedbank</w:t>
      </w:r>
      <w:r>
        <w:rPr>
          <w:rFonts w:cs="Calibri"/>
          <w:lang w:eastAsia="en-ZA"/>
        </w:rPr>
        <w:t xml:space="preserve"> Judgement it is clear that a Debt Counsellor cannot terminate a Debt Review once the Debt Review application has been accepted in terms of Section 86(1). </w:t>
      </w:r>
    </w:p>
    <w:p w:rsidR="008A42AE" w:rsidRPr="008448E6" w:rsidRDefault="008A42AE" w:rsidP="001D73BE">
      <w:pPr>
        <w:autoSpaceDE w:val="0"/>
        <w:autoSpaceDN w:val="0"/>
        <w:adjustRightInd w:val="0"/>
        <w:spacing w:line="360" w:lineRule="auto"/>
        <w:ind w:firstLine="360"/>
        <w:jc w:val="both"/>
        <w:rPr>
          <w:rFonts w:cs="Calibri"/>
          <w:b/>
          <w:lang w:eastAsia="en-ZA"/>
        </w:rPr>
      </w:pPr>
      <w:r>
        <w:rPr>
          <w:rFonts w:cs="Calibri"/>
          <w:b/>
          <w:lang w:eastAsia="en-ZA"/>
        </w:rPr>
        <w:t xml:space="preserve">CIF Guideline:  </w:t>
      </w:r>
    </w:p>
    <w:p w:rsidR="008A42AE" w:rsidRDefault="008A42AE" w:rsidP="001D73BE">
      <w:pPr>
        <w:spacing w:line="360" w:lineRule="auto"/>
        <w:ind w:left="360"/>
        <w:jc w:val="both"/>
        <w:rPr>
          <w:rFonts w:cs="Calibri"/>
          <w:lang w:eastAsia="en-ZA"/>
        </w:rPr>
      </w:pPr>
      <w:r>
        <w:rPr>
          <w:rFonts w:cs="Calibri"/>
          <w:lang w:eastAsia="en-ZA"/>
        </w:rPr>
        <w:t xml:space="preserve">A Debt Counsellor has no statutory power to remove the Debt Review listing from the Credit Bureau. </w:t>
      </w:r>
    </w:p>
    <w:p w:rsidR="008A42AE" w:rsidRDefault="008A42AE" w:rsidP="00D2053D">
      <w:pPr>
        <w:pStyle w:val="ListParagraph"/>
        <w:numPr>
          <w:ilvl w:val="0"/>
          <w:numId w:val="1"/>
        </w:numPr>
        <w:autoSpaceDE w:val="0"/>
        <w:autoSpaceDN w:val="0"/>
        <w:adjustRightInd w:val="0"/>
        <w:spacing w:line="360" w:lineRule="auto"/>
        <w:jc w:val="both"/>
        <w:rPr>
          <w:rFonts w:cs="Calibri"/>
          <w:b/>
          <w:lang w:eastAsia="en-ZA"/>
        </w:rPr>
      </w:pPr>
      <w:r w:rsidRPr="00045AB2">
        <w:rPr>
          <w:rFonts w:cs="Calibri"/>
          <w:b/>
          <w:lang w:eastAsia="en-ZA"/>
        </w:rPr>
        <w:t xml:space="preserve">Can a </w:t>
      </w:r>
      <w:r>
        <w:rPr>
          <w:rFonts w:cs="Calibri"/>
          <w:b/>
          <w:lang w:eastAsia="en-ZA"/>
        </w:rPr>
        <w:t xml:space="preserve">Consumer </w:t>
      </w:r>
      <w:r w:rsidRPr="00045AB2">
        <w:rPr>
          <w:rFonts w:cs="Calibri"/>
          <w:b/>
          <w:lang w:eastAsia="en-ZA"/>
        </w:rPr>
        <w:t xml:space="preserve">withdraw from </w:t>
      </w:r>
      <w:r>
        <w:rPr>
          <w:rFonts w:cs="Calibri"/>
          <w:b/>
          <w:lang w:eastAsia="en-ZA"/>
        </w:rPr>
        <w:t>Debt Review</w:t>
      </w:r>
      <w:r w:rsidRPr="00045AB2">
        <w:rPr>
          <w:rFonts w:cs="Calibri"/>
          <w:b/>
          <w:lang w:eastAsia="en-ZA"/>
        </w:rPr>
        <w:t xml:space="preserve"> once a </w:t>
      </w:r>
      <w:r>
        <w:rPr>
          <w:rFonts w:cs="Calibri"/>
          <w:b/>
          <w:lang w:eastAsia="en-ZA"/>
        </w:rPr>
        <w:t>Debt Review</w:t>
      </w:r>
      <w:r w:rsidRPr="00045AB2">
        <w:rPr>
          <w:rFonts w:cs="Calibri"/>
          <w:b/>
          <w:lang w:eastAsia="en-ZA"/>
        </w:rPr>
        <w:t xml:space="preserve"> Court Order has been obtained? </w:t>
      </w:r>
    </w:p>
    <w:p w:rsidR="008A42AE" w:rsidRDefault="008A42AE" w:rsidP="001D73BE">
      <w:pPr>
        <w:autoSpaceDE w:val="0"/>
        <w:autoSpaceDN w:val="0"/>
        <w:adjustRightInd w:val="0"/>
        <w:spacing w:line="360" w:lineRule="auto"/>
        <w:ind w:left="360"/>
        <w:jc w:val="both"/>
        <w:rPr>
          <w:rFonts w:cs="Calibri"/>
          <w:lang w:eastAsia="en-ZA"/>
        </w:rPr>
      </w:pPr>
      <w:r w:rsidRPr="00045AB2">
        <w:rPr>
          <w:rFonts w:cs="Calibri"/>
          <w:lang w:eastAsia="en-ZA"/>
        </w:rPr>
        <w:t xml:space="preserve">Once a </w:t>
      </w:r>
      <w:r>
        <w:rPr>
          <w:rFonts w:cs="Calibri"/>
          <w:lang w:eastAsia="en-ZA"/>
        </w:rPr>
        <w:t>Debt Review</w:t>
      </w:r>
      <w:r w:rsidRPr="00045AB2">
        <w:rPr>
          <w:rFonts w:cs="Calibri"/>
          <w:lang w:eastAsia="en-ZA"/>
        </w:rPr>
        <w:t xml:space="preserve"> Court Order has been obtained </w:t>
      </w:r>
      <w:r>
        <w:rPr>
          <w:rFonts w:cs="Calibri"/>
          <w:lang w:eastAsia="en-ZA"/>
        </w:rPr>
        <w:t>a Consumer cannot terminate or withdraw from Debt Review. Any Consumer who intends to withdraw or terminate the Debt Review has to approach the Magistrate Court with an application to rescind the Debt Review Order or to be declared no longer over-indebted by the Court. The Consumer is responsible for the cost of this application.</w:t>
      </w:r>
    </w:p>
    <w:p w:rsidR="008A42AE" w:rsidRDefault="008A42AE" w:rsidP="001D73BE">
      <w:pPr>
        <w:autoSpaceDE w:val="0"/>
        <w:autoSpaceDN w:val="0"/>
        <w:adjustRightInd w:val="0"/>
        <w:spacing w:line="360" w:lineRule="auto"/>
        <w:ind w:left="360"/>
        <w:jc w:val="both"/>
        <w:rPr>
          <w:rFonts w:cs="Calibri"/>
          <w:lang w:eastAsia="en-ZA"/>
        </w:rPr>
      </w:pPr>
      <w:r>
        <w:rPr>
          <w:rFonts w:cs="Calibri"/>
          <w:lang w:eastAsia="en-ZA"/>
        </w:rPr>
        <w:t xml:space="preserve">When a Debt Counsellor receives the Court Order rescinding the Debt Review Court Order the Debt Counsellor has to remove the Debt Review Listing on the Credit Bureaus by updating NCR Debt Help. </w:t>
      </w:r>
    </w:p>
    <w:p w:rsidR="008A42AE" w:rsidRDefault="008A42AE" w:rsidP="001D73BE">
      <w:pPr>
        <w:autoSpaceDE w:val="0"/>
        <w:autoSpaceDN w:val="0"/>
        <w:adjustRightInd w:val="0"/>
        <w:spacing w:line="360" w:lineRule="auto"/>
        <w:ind w:left="360"/>
        <w:jc w:val="both"/>
        <w:rPr>
          <w:rFonts w:cs="Calibri"/>
          <w:lang w:eastAsia="en-ZA"/>
        </w:rPr>
      </w:pPr>
      <w:r w:rsidRPr="0011767D">
        <w:rPr>
          <w:rFonts w:cs="Calibri"/>
        </w:rPr>
        <w:t>The</w:t>
      </w:r>
      <w:r>
        <w:rPr>
          <w:rFonts w:cs="Calibri"/>
        </w:rPr>
        <w:t xml:space="preserve"> Debt Review </w:t>
      </w:r>
      <w:r w:rsidRPr="0011767D">
        <w:rPr>
          <w:rFonts w:cs="Calibri"/>
        </w:rPr>
        <w:t xml:space="preserve">process can </w:t>
      </w:r>
      <w:r>
        <w:rPr>
          <w:rFonts w:cs="Calibri"/>
        </w:rPr>
        <w:t xml:space="preserve">also </w:t>
      </w:r>
      <w:r w:rsidRPr="0011767D">
        <w:rPr>
          <w:rFonts w:cs="Calibri"/>
        </w:rPr>
        <w:t xml:space="preserve">be terminated when the </w:t>
      </w:r>
      <w:r>
        <w:rPr>
          <w:rFonts w:cs="Calibri"/>
        </w:rPr>
        <w:t xml:space="preserve">Consumer </w:t>
      </w:r>
      <w:r w:rsidRPr="0011767D">
        <w:rPr>
          <w:rFonts w:cs="Calibri"/>
        </w:rPr>
        <w:t xml:space="preserve">paid the debt in full and applies for a </w:t>
      </w:r>
      <w:r>
        <w:rPr>
          <w:rFonts w:cs="Calibri"/>
        </w:rPr>
        <w:t>C</w:t>
      </w:r>
      <w:r w:rsidRPr="0011767D">
        <w:rPr>
          <w:rFonts w:cs="Calibri"/>
        </w:rPr>
        <w:t xml:space="preserve">learance </w:t>
      </w:r>
      <w:r>
        <w:rPr>
          <w:rFonts w:cs="Calibri"/>
        </w:rPr>
        <w:t>C</w:t>
      </w:r>
      <w:r w:rsidRPr="0011767D">
        <w:rPr>
          <w:rFonts w:cs="Calibri"/>
        </w:rPr>
        <w:t>ertificate</w:t>
      </w:r>
      <w:r>
        <w:rPr>
          <w:rStyle w:val="FootnoteReference"/>
          <w:rFonts w:cs="Calibri"/>
        </w:rPr>
        <w:footnoteReference w:id="7"/>
      </w:r>
      <w:r w:rsidRPr="0011767D">
        <w:rPr>
          <w:rFonts w:cs="Calibri"/>
        </w:rPr>
        <w:t>.</w:t>
      </w:r>
    </w:p>
    <w:p w:rsidR="008A42AE" w:rsidRPr="008448E6" w:rsidRDefault="008A42AE" w:rsidP="001D73BE">
      <w:pPr>
        <w:autoSpaceDE w:val="0"/>
        <w:autoSpaceDN w:val="0"/>
        <w:adjustRightInd w:val="0"/>
        <w:spacing w:line="360" w:lineRule="auto"/>
        <w:ind w:left="360"/>
        <w:jc w:val="both"/>
        <w:rPr>
          <w:rFonts w:cs="Calibri"/>
          <w:b/>
          <w:lang w:eastAsia="en-ZA"/>
        </w:rPr>
      </w:pPr>
      <w:r>
        <w:rPr>
          <w:rFonts w:cs="Calibri"/>
          <w:b/>
          <w:lang w:eastAsia="en-ZA"/>
        </w:rPr>
        <w:t>CIF Guideline</w:t>
      </w:r>
      <w:r w:rsidRPr="008448E6">
        <w:rPr>
          <w:rFonts w:cs="Calibri"/>
          <w:b/>
          <w:lang w:eastAsia="en-ZA"/>
        </w:rPr>
        <w:t>:</w:t>
      </w:r>
    </w:p>
    <w:p w:rsidR="008A42AE" w:rsidRDefault="008A42AE" w:rsidP="001D73BE">
      <w:pPr>
        <w:autoSpaceDE w:val="0"/>
        <w:autoSpaceDN w:val="0"/>
        <w:adjustRightInd w:val="0"/>
        <w:spacing w:line="360" w:lineRule="auto"/>
        <w:ind w:left="360"/>
        <w:jc w:val="both"/>
        <w:rPr>
          <w:rFonts w:cs="Calibri"/>
          <w:lang w:eastAsia="en-ZA"/>
        </w:rPr>
      </w:pPr>
      <w:r w:rsidRPr="00045AB2">
        <w:rPr>
          <w:rFonts w:cs="Calibri"/>
          <w:lang w:eastAsia="en-ZA"/>
        </w:rPr>
        <w:t xml:space="preserve">Once a </w:t>
      </w:r>
      <w:r>
        <w:rPr>
          <w:rFonts w:cs="Calibri"/>
          <w:lang w:eastAsia="en-ZA"/>
        </w:rPr>
        <w:t>Debt Review</w:t>
      </w:r>
      <w:r w:rsidRPr="00045AB2">
        <w:rPr>
          <w:rFonts w:cs="Calibri"/>
          <w:lang w:eastAsia="en-ZA"/>
        </w:rPr>
        <w:t xml:space="preserve"> Court Order has been obtained </w:t>
      </w:r>
      <w:r>
        <w:rPr>
          <w:rFonts w:cs="Calibri"/>
          <w:lang w:eastAsia="en-ZA"/>
        </w:rPr>
        <w:t xml:space="preserve">a Consumer cannot terminate or withdraw from Debt Review. The Consumer has to approach the Court for an Order to rescind the Debt Review Order or repay the debt and apply for Clearance Certificate. </w:t>
      </w:r>
    </w:p>
    <w:p w:rsidR="008A42AE" w:rsidRDefault="008A42AE" w:rsidP="00D2053D">
      <w:pPr>
        <w:pStyle w:val="ListParagraph"/>
        <w:numPr>
          <w:ilvl w:val="0"/>
          <w:numId w:val="1"/>
        </w:numPr>
        <w:autoSpaceDE w:val="0"/>
        <w:autoSpaceDN w:val="0"/>
        <w:adjustRightInd w:val="0"/>
        <w:spacing w:line="360" w:lineRule="auto"/>
        <w:jc w:val="both"/>
        <w:rPr>
          <w:rFonts w:cs="Calibri"/>
          <w:b/>
          <w:lang w:eastAsia="en-ZA"/>
        </w:rPr>
      </w:pPr>
      <w:r>
        <w:rPr>
          <w:rFonts w:cs="Calibri"/>
          <w:b/>
          <w:lang w:eastAsia="en-ZA"/>
        </w:rPr>
        <w:t xml:space="preserve">Can a Credit Provider terminate a Debt Review </w:t>
      </w:r>
    </w:p>
    <w:p w:rsidR="008A42AE" w:rsidRDefault="008A42AE" w:rsidP="001D73BE">
      <w:pPr>
        <w:autoSpaceDE w:val="0"/>
        <w:autoSpaceDN w:val="0"/>
        <w:adjustRightInd w:val="0"/>
        <w:spacing w:line="360" w:lineRule="auto"/>
        <w:ind w:left="360"/>
        <w:jc w:val="both"/>
        <w:rPr>
          <w:rFonts w:cs="Calibri"/>
          <w:lang w:eastAsia="en-ZA"/>
        </w:rPr>
      </w:pPr>
      <w:r w:rsidRPr="001C6C0C">
        <w:rPr>
          <w:rFonts w:cs="Calibri"/>
          <w:lang w:eastAsia="en-ZA"/>
        </w:rPr>
        <w:t xml:space="preserve">A Credit Provider may terminate a Credit </w:t>
      </w:r>
      <w:r>
        <w:rPr>
          <w:rFonts w:cs="Calibri"/>
          <w:lang w:eastAsia="en-ZA"/>
        </w:rPr>
        <w:t xml:space="preserve">Agreement in terms of Section 86(10) of the NCA. </w:t>
      </w:r>
    </w:p>
    <w:p w:rsidR="008A42AE" w:rsidRDefault="008A42AE" w:rsidP="001D73BE">
      <w:pPr>
        <w:autoSpaceDE w:val="0"/>
        <w:autoSpaceDN w:val="0"/>
        <w:adjustRightInd w:val="0"/>
        <w:spacing w:line="360" w:lineRule="auto"/>
        <w:ind w:left="360"/>
        <w:jc w:val="both"/>
        <w:rPr>
          <w:rFonts w:cs="Calibri"/>
          <w:lang w:eastAsia="en-ZA"/>
        </w:rPr>
      </w:pPr>
      <w:r>
        <w:rPr>
          <w:rFonts w:cs="Calibri"/>
          <w:lang w:eastAsia="en-ZA"/>
        </w:rPr>
        <w:t xml:space="preserve">Once a Debt Review Court Order has been obtained the Credit Provider can proceed with legal enforcement in terms of Section 88 only if the Consumers defaults on the agreed repayments. </w:t>
      </w:r>
    </w:p>
    <w:p w:rsidR="008A42AE" w:rsidRPr="008448E6" w:rsidRDefault="008A42AE" w:rsidP="00A7637B">
      <w:pPr>
        <w:autoSpaceDE w:val="0"/>
        <w:autoSpaceDN w:val="0"/>
        <w:adjustRightInd w:val="0"/>
        <w:spacing w:line="360" w:lineRule="auto"/>
        <w:ind w:left="360"/>
        <w:jc w:val="both"/>
        <w:rPr>
          <w:rFonts w:cs="Calibri"/>
          <w:b/>
          <w:lang w:eastAsia="en-ZA"/>
        </w:rPr>
      </w:pPr>
      <w:r>
        <w:rPr>
          <w:rFonts w:cs="Calibri"/>
          <w:b/>
          <w:lang w:eastAsia="en-ZA"/>
        </w:rPr>
        <w:t>CIF Guideline</w:t>
      </w:r>
      <w:r w:rsidRPr="008448E6">
        <w:rPr>
          <w:rFonts w:cs="Calibri"/>
          <w:b/>
          <w:lang w:eastAsia="en-ZA"/>
        </w:rPr>
        <w:t>:</w:t>
      </w:r>
    </w:p>
    <w:p w:rsidR="008A42AE" w:rsidRDefault="008A42AE" w:rsidP="00171313">
      <w:pPr>
        <w:autoSpaceDE w:val="0"/>
        <w:autoSpaceDN w:val="0"/>
        <w:adjustRightInd w:val="0"/>
        <w:spacing w:line="360" w:lineRule="auto"/>
        <w:ind w:left="360"/>
        <w:jc w:val="both"/>
        <w:rPr>
          <w:rFonts w:cs="Calibri"/>
          <w:lang w:eastAsia="en-ZA"/>
        </w:rPr>
      </w:pPr>
      <w:r>
        <w:rPr>
          <w:rFonts w:cs="Calibri"/>
          <w:lang w:eastAsia="en-ZA"/>
        </w:rPr>
        <w:t xml:space="preserve">No recommendation required. </w:t>
      </w:r>
    </w:p>
    <w:p w:rsidR="008A42AE" w:rsidRDefault="008A42AE" w:rsidP="00171313">
      <w:pPr>
        <w:autoSpaceDE w:val="0"/>
        <w:autoSpaceDN w:val="0"/>
        <w:adjustRightInd w:val="0"/>
        <w:spacing w:line="360" w:lineRule="auto"/>
        <w:ind w:left="360"/>
        <w:jc w:val="both"/>
        <w:rPr>
          <w:rFonts w:cs="Calibri"/>
          <w:lang w:eastAsia="en-ZA"/>
        </w:rPr>
      </w:pPr>
      <w:r>
        <w:rPr>
          <w:rFonts w:cs="Calibri"/>
          <w:lang w:eastAsia="en-ZA"/>
        </w:rPr>
        <w:t xml:space="preserve">The NCA allows Credit Providers to Terminate a Credit Agreement in terms of Section 86(10) and where a Debt Review Court Order has been obtained and the Consumer defaults on the agreed repayments Credit Providers may proceed with legal action in terms of Section 88.  </w:t>
      </w:r>
    </w:p>
    <w:p w:rsidR="008A42AE" w:rsidRDefault="008A42AE" w:rsidP="00171313">
      <w:pPr>
        <w:autoSpaceDE w:val="0"/>
        <w:autoSpaceDN w:val="0"/>
        <w:adjustRightInd w:val="0"/>
        <w:spacing w:line="360" w:lineRule="auto"/>
        <w:ind w:left="360"/>
        <w:jc w:val="both"/>
        <w:rPr>
          <w:rFonts w:cs="Calibri"/>
          <w:lang w:eastAsia="en-ZA"/>
        </w:rPr>
      </w:pPr>
      <w:r>
        <w:rPr>
          <w:rFonts w:cs="Calibri"/>
          <w:lang w:eastAsia="en-ZA"/>
        </w:rPr>
        <w:t>In both circumstance the Consumer remain under Debt Review until all Debt has been repaid and the Consumer can request a Clearance Certificate or if the Debt Review Court Order has been rescinded. Any Consumer may approach the Magistrate Court with an application to rescind the Debt Review Order or to be declared no longer over-indebted by the Court. The Consumer is responsible for the cost of this application.</w:t>
      </w:r>
    </w:p>
    <w:p w:rsidR="008A42AE" w:rsidRDefault="008A42AE" w:rsidP="001D73BE">
      <w:pPr>
        <w:autoSpaceDE w:val="0"/>
        <w:autoSpaceDN w:val="0"/>
        <w:adjustRightInd w:val="0"/>
        <w:spacing w:line="360" w:lineRule="auto"/>
        <w:ind w:firstLine="360"/>
        <w:jc w:val="both"/>
        <w:rPr>
          <w:rFonts w:cs="Calibri"/>
          <w:lang w:eastAsia="en-ZA"/>
        </w:rPr>
      </w:pPr>
    </w:p>
    <w:p w:rsidR="008A42AE" w:rsidRDefault="008A42AE" w:rsidP="001C6C0C">
      <w:pPr>
        <w:pStyle w:val="ListParagraph"/>
        <w:numPr>
          <w:ilvl w:val="0"/>
          <w:numId w:val="1"/>
        </w:numPr>
        <w:autoSpaceDE w:val="0"/>
        <w:autoSpaceDN w:val="0"/>
        <w:adjustRightInd w:val="0"/>
        <w:spacing w:line="360" w:lineRule="auto"/>
        <w:jc w:val="both"/>
        <w:rPr>
          <w:rFonts w:cs="Calibri"/>
          <w:b/>
          <w:lang w:eastAsia="en-ZA"/>
        </w:rPr>
      </w:pPr>
      <w:r w:rsidRPr="002D2D70">
        <w:rPr>
          <w:rFonts w:cs="Calibri"/>
          <w:b/>
          <w:lang w:eastAsia="en-ZA"/>
        </w:rPr>
        <w:t xml:space="preserve">Can a </w:t>
      </w:r>
      <w:r>
        <w:rPr>
          <w:rFonts w:cs="Calibri"/>
          <w:b/>
          <w:lang w:eastAsia="en-ZA"/>
        </w:rPr>
        <w:t xml:space="preserve">Consumer </w:t>
      </w:r>
      <w:r w:rsidRPr="002D2D70">
        <w:rPr>
          <w:rFonts w:cs="Calibri"/>
          <w:b/>
          <w:lang w:eastAsia="en-ZA"/>
        </w:rPr>
        <w:t xml:space="preserve">withdraw or terminate the </w:t>
      </w:r>
      <w:r>
        <w:rPr>
          <w:rFonts w:cs="Calibri"/>
          <w:b/>
          <w:lang w:eastAsia="en-ZA"/>
        </w:rPr>
        <w:t>Debt Review</w:t>
      </w:r>
      <w:r w:rsidRPr="002D2D70">
        <w:rPr>
          <w:rFonts w:cs="Calibri"/>
          <w:b/>
          <w:lang w:eastAsia="en-ZA"/>
        </w:rPr>
        <w:t xml:space="preserve"> prior to obtaining the </w:t>
      </w:r>
      <w:r>
        <w:rPr>
          <w:rFonts w:cs="Calibri"/>
          <w:b/>
          <w:lang w:eastAsia="en-ZA"/>
        </w:rPr>
        <w:t>Debt Review</w:t>
      </w:r>
      <w:r w:rsidRPr="002D2D70">
        <w:rPr>
          <w:rFonts w:cs="Calibri"/>
          <w:b/>
          <w:lang w:eastAsia="en-ZA"/>
        </w:rPr>
        <w:t xml:space="preserve"> Court Order?</w:t>
      </w:r>
    </w:p>
    <w:p w:rsidR="008A42AE" w:rsidRDefault="008A42AE" w:rsidP="00F4351F">
      <w:pPr>
        <w:autoSpaceDE w:val="0"/>
        <w:autoSpaceDN w:val="0"/>
        <w:adjustRightInd w:val="0"/>
        <w:spacing w:line="360" w:lineRule="auto"/>
        <w:ind w:left="360"/>
        <w:jc w:val="both"/>
        <w:rPr>
          <w:rFonts w:cs="Calibri"/>
          <w:lang w:eastAsia="en-ZA"/>
        </w:rPr>
      </w:pPr>
      <w:r>
        <w:rPr>
          <w:rFonts w:cs="Calibri"/>
          <w:lang w:eastAsia="en-ZA"/>
        </w:rPr>
        <w:t>There is no explicit provision in the NCA that allows a Consumer to terminate or withdraw from the Debt Review process before a Court Order has been obtained. T</w:t>
      </w:r>
      <w:r w:rsidRPr="002D2D70">
        <w:rPr>
          <w:rFonts w:cs="Calibri"/>
          <w:lang w:eastAsia="en-ZA"/>
        </w:rPr>
        <w:t xml:space="preserve">he following is a summary </w:t>
      </w:r>
      <w:r>
        <w:rPr>
          <w:rFonts w:cs="Calibri"/>
          <w:lang w:eastAsia="en-ZA"/>
        </w:rPr>
        <w:t xml:space="preserve">of the </w:t>
      </w:r>
      <w:r w:rsidRPr="002D2D70">
        <w:rPr>
          <w:rFonts w:cs="Calibri"/>
          <w:lang w:eastAsia="en-ZA"/>
        </w:rPr>
        <w:t>legal opinion</w:t>
      </w:r>
      <w:r>
        <w:rPr>
          <w:rFonts w:cs="Calibri"/>
          <w:lang w:eastAsia="en-ZA"/>
        </w:rPr>
        <w:t xml:space="preserve"> on the issue</w:t>
      </w:r>
      <w:r w:rsidRPr="002D2D70">
        <w:rPr>
          <w:rFonts w:cs="Calibri"/>
          <w:lang w:eastAsia="en-ZA"/>
        </w:rPr>
        <w:t xml:space="preserve">:  </w:t>
      </w:r>
    </w:p>
    <w:p w:rsidR="008A42AE" w:rsidRDefault="008A42AE" w:rsidP="00F4351F">
      <w:pPr>
        <w:pStyle w:val="ListParagraph"/>
        <w:numPr>
          <w:ilvl w:val="0"/>
          <w:numId w:val="4"/>
        </w:numPr>
        <w:autoSpaceDE w:val="0"/>
        <w:autoSpaceDN w:val="0"/>
        <w:adjustRightInd w:val="0"/>
        <w:spacing w:line="360" w:lineRule="auto"/>
        <w:jc w:val="both"/>
        <w:rPr>
          <w:rFonts w:cs="Calibri"/>
          <w:lang w:eastAsia="en-ZA"/>
        </w:rPr>
      </w:pPr>
      <w:r>
        <w:rPr>
          <w:rFonts w:cs="Calibri"/>
          <w:lang w:eastAsia="en-ZA"/>
        </w:rPr>
        <w:t xml:space="preserve">Once a Debt Review application has been accepted in terms of Section 86(1) the Consumer cannot terminate or withdraw from the Debt Review and must allow the process to run for 60 days. If the Consumer is non-compliant it is likely that the Credit Providers will terminate. </w:t>
      </w:r>
    </w:p>
    <w:p w:rsidR="008A42AE" w:rsidRPr="00B36895" w:rsidRDefault="008A42AE" w:rsidP="00F4351F">
      <w:pPr>
        <w:pStyle w:val="ListParagraph"/>
        <w:numPr>
          <w:ilvl w:val="0"/>
          <w:numId w:val="4"/>
        </w:numPr>
        <w:spacing w:after="80" w:line="360" w:lineRule="auto"/>
        <w:jc w:val="both"/>
        <w:rPr>
          <w:rFonts w:cs="Calibri"/>
        </w:rPr>
      </w:pPr>
      <w:r w:rsidRPr="00B36895">
        <w:rPr>
          <w:rFonts w:cs="Calibri"/>
          <w:lang w:eastAsia="en-ZA"/>
        </w:rPr>
        <w:t xml:space="preserve">Allowing the </w:t>
      </w:r>
      <w:r>
        <w:rPr>
          <w:rFonts w:cs="Calibri"/>
          <w:lang w:eastAsia="en-ZA"/>
        </w:rPr>
        <w:t xml:space="preserve">Consumer </w:t>
      </w:r>
      <w:r w:rsidRPr="00B36895">
        <w:rPr>
          <w:rFonts w:cs="Calibri"/>
          <w:lang w:eastAsia="en-ZA"/>
        </w:rPr>
        <w:t xml:space="preserve">to withdraw from the </w:t>
      </w:r>
      <w:r>
        <w:rPr>
          <w:rFonts w:cs="Calibri"/>
          <w:lang w:eastAsia="en-ZA"/>
        </w:rPr>
        <w:t>Debt Review</w:t>
      </w:r>
      <w:r w:rsidRPr="00B36895">
        <w:rPr>
          <w:rFonts w:cs="Calibri"/>
          <w:lang w:eastAsia="en-ZA"/>
        </w:rPr>
        <w:t xml:space="preserve"> Process as and when they desire will result in an abuse of the </w:t>
      </w:r>
      <w:r>
        <w:rPr>
          <w:rFonts w:cs="Calibri"/>
          <w:lang w:eastAsia="en-ZA"/>
        </w:rPr>
        <w:t>Debt Review</w:t>
      </w:r>
      <w:r w:rsidRPr="00B36895">
        <w:rPr>
          <w:rFonts w:cs="Calibri"/>
          <w:lang w:eastAsia="en-ZA"/>
        </w:rPr>
        <w:t xml:space="preserve"> process. </w:t>
      </w:r>
    </w:p>
    <w:p w:rsidR="008A42AE" w:rsidRPr="00B36895" w:rsidRDefault="008A42AE" w:rsidP="00F4351F">
      <w:pPr>
        <w:pStyle w:val="ListParagraph"/>
        <w:numPr>
          <w:ilvl w:val="0"/>
          <w:numId w:val="4"/>
        </w:numPr>
        <w:spacing w:after="80" w:line="360" w:lineRule="auto"/>
        <w:jc w:val="both"/>
        <w:rPr>
          <w:rFonts w:cs="Calibri"/>
        </w:rPr>
      </w:pPr>
      <w:r w:rsidRPr="00B36895">
        <w:rPr>
          <w:rFonts w:cs="Calibri"/>
        </w:rPr>
        <w:t xml:space="preserve">The protection of the </w:t>
      </w:r>
      <w:r>
        <w:rPr>
          <w:rFonts w:cs="Calibri"/>
        </w:rPr>
        <w:t>Debt Review</w:t>
      </w:r>
      <w:r w:rsidRPr="00B36895">
        <w:rPr>
          <w:rFonts w:cs="Calibri"/>
        </w:rPr>
        <w:t xml:space="preserve"> has a life of its own, and the Act provides a </w:t>
      </w:r>
      <w:r w:rsidRPr="00B36895">
        <w:rPr>
          <w:rFonts w:cs="Calibri"/>
          <w:i/>
        </w:rPr>
        <w:t>numerus clausus</w:t>
      </w:r>
      <w:r w:rsidRPr="00B36895">
        <w:rPr>
          <w:rFonts w:cs="Calibri"/>
        </w:rPr>
        <w:t xml:space="preserve"> of ways in which the </w:t>
      </w:r>
      <w:r>
        <w:rPr>
          <w:rFonts w:cs="Calibri"/>
        </w:rPr>
        <w:t>Debt Review</w:t>
      </w:r>
      <w:r w:rsidRPr="00B36895">
        <w:rPr>
          <w:rFonts w:cs="Calibri"/>
        </w:rPr>
        <w:t xml:space="preserve"> can be terminated (which does not include termination or withdrawal by the Consumer), the </w:t>
      </w:r>
      <w:r>
        <w:rPr>
          <w:rFonts w:cs="Calibri"/>
        </w:rPr>
        <w:t xml:space="preserve">Consumer </w:t>
      </w:r>
      <w:r w:rsidRPr="00B36895">
        <w:rPr>
          <w:rFonts w:cs="Calibri"/>
        </w:rPr>
        <w:t xml:space="preserve">can at best cease to cooperate with the process. The effect thereof is, however, not that the process is terminated nor that the </w:t>
      </w:r>
      <w:r>
        <w:rPr>
          <w:rFonts w:cs="Calibri"/>
        </w:rPr>
        <w:t xml:space="preserve">Consumer </w:t>
      </w:r>
      <w:r w:rsidRPr="00B36895">
        <w:rPr>
          <w:rFonts w:cs="Calibri"/>
        </w:rPr>
        <w:t xml:space="preserve">is no longer a party thereto; it simply means that the </w:t>
      </w:r>
      <w:r>
        <w:rPr>
          <w:rFonts w:cs="Calibri"/>
        </w:rPr>
        <w:t xml:space="preserve">Consumer </w:t>
      </w:r>
      <w:r w:rsidRPr="00B36895">
        <w:rPr>
          <w:rFonts w:cs="Calibri"/>
        </w:rPr>
        <w:t>is non-compliant. Once the 60 days of protection has run out, matters will run their course as provided for in the Act (i</w:t>
      </w:r>
      <w:r>
        <w:rPr>
          <w:rFonts w:cs="Calibri"/>
        </w:rPr>
        <w:t>.</w:t>
      </w:r>
      <w:r w:rsidRPr="00B36895">
        <w:rPr>
          <w:rFonts w:cs="Calibri"/>
        </w:rPr>
        <w:t>e</w:t>
      </w:r>
      <w:r>
        <w:rPr>
          <w:rFonts w:cs="Calibri"/>
        </w:rPr>
        <w:t>.</w:t>
      </w:r>
      <w:r w:rsidRPr="00B36895">
        <w:rPr>
          <w:rFonts w:cs="Calibri"/>
        </w:rPr>
        <w:t xml:space="preserve"> the Credit Providers are likely to </w:t>
      </w:r>
      <w:r>
        <w:rPr>
          <w:rFonts w:cs="Calibri"/>
        </w:rPr>
        <w:t xml:space="preserve">terminate </w:t>
      </w:r>
      <w:r w:rsidRPr="00B36895">
        <w:rPr>
          <w:rFonts w:cs="Calibri"/>
        </w:rPr>
        <w:t xml:space="preserve">from the process by use of </w:t>
      </w:r>
      <w:r>
        <w:rPr>
          <w:rFonts w:cs="Calibri"/>
        </w:rPr>
        <w:t>S</w:t>
      </w:r>
      <w:r w:rsidRPr="00B36895">
        <w:rPr>
          <w:rFonts w:cs="Calibri"/>
        </w:rPr>
        <w:t xml:space="preserve">ection 86(10) notices, depriving the </w:t>
      </w:r>
      <w:r>
        <w:rPr>
          <w:rFonts w:cs="Calibri"/>
        </w:rPr>
        <w:t xml:space="preserve">Consumer </w:t>
      </w:r>
      <w:r w:rsidRPr="00B36895">
        <w:rPr>
          <w:rFonts w:cs="Calibri"/>
        </w:rPr>
        <w:t xml:space="preserve">of the protection afforded by the </w:t>
      </w:r>
      <w:r>
        <w:rPr>
          <w:rFonts w:cs="Calibri"/>
        </w:rPr>
        <w:t>Debt Review</w:t>
      </w:r>
      <w:r w:rsidRPr="00B36895">
        <w:rPr>
          <w:rFonts w:cs="Calibri"/>
        </w:rPr>
        <w:t>).</w:t>
      </w:r>
    </w:p>
    <w:p w:rsidR="008A42AE" w:rsidRPr="00A348BD" w:rsidRDefault="008A42AE" w:rsidP="00061FED">
      <w:pPr>
        <w:autoSpaceDE w:val="0"/>
        <w:autoSpaceDN w:val="0"/>
        <w:adjustRightInd w:val="0"/>
        <w:spacing w:line="360" w:lineRule="auto"/>
        <w:ind w:left="720"/>
        <w:jc w:val="both"/>
        <w:rPr>
          <w:rFonts w:cs="Calibri"/>
          <w:lang w:eastAsia="en-ZA"/>
        </w:rPr>
      </w:pPr>
      <w:r>
        <w:rPr>
          <w:rFonts w:cs="Calibri"/>
          <w:lang w:eastAsia="en-ZA"/>
        </w:rPr>
        <w:t xml:space="preserve">Based on the legal opinion the Consumer does not have any common law right to withdraw from the Debt Review process once a Debt Counsellor has made a determination in terms of Section 86(7). </w:t>
      </w:r>
    </w:p>
    <w:p w:rsidR="008A42AE" w:rsidRDefault="008A42AE" w:rsidP="00061FED">
      <w:pPr>
        <w:spacing w:line="360" w:lineRule="auto"/>
        <w:ind w:left="720"/>
        <w:jc w:val="both"/>
        <w:rPr>
          <w:rFonts w:cs="Calibri"/>
        </w:rPr>
      </w:pPr>
      <w:r>
        <w:rPr>
          <w:rFonts w:cs="Calibri"/>
          <w:lang w:eastAsia="en-ZA"/>
        </w:rPr>
        <w:t xml:space="preserve">Based on this interpretation a Consumer cannot withdraw from the Debt Review process once a Debt Counsellor has declared the Consumer over-indebted. This opinion does imply that a Consumer may be able to withdraw from Debt Review prior to the issuing of Form 17.2. </w:t>
      </w:r>
    </w:p>
    <w:p w:rsidR="008A42AE" w:rsidRDefault="008A42AE" w:rsidP="00061FED">
      <w:pPr>
        <w:spacing w:line="360" w:lineRule="auto"/>
        <w:ind w:left="720"/>
        <w:jc w:val="both"/>
        <w:rPr>
          <w:rFonts w:cs="Calibri"/>
        </w:rPr>
      </w:pPr>
      <w:r>
        <w:rPr>
          <w:rFonts w:cs="Calibri"/>
        </w:rPr>
        <w:t xml:space="preserve">In support of this legal view expressed above the following: </w:t>
      </w:r>
    </w:p>
    <w:p w:rsidR="008A42AE" w:rsidRPr="0011767D" w:rsidRDefault="008A42AE" w:rsidP="00061FED">
      <w:pPr>
        <w:spacing w:line="360" w:lineRule="auto"/>
        <w:ind w:left="720"/>
        <w:jc w:val="both"/>
        <w:rPr>
          <w:rFonts w:cs="Calibri"/>
        </w:rPr>
      </w:pPr>
      <w:r>
        <w:rPr>
          <w:rFonts w:cs="Calibri"/>
        </w:rPr>
        <w:t xml:space="preserve">The </w:t>
      </w:r>
      <w:r w:rsidRPr="0011767D">
        <w:rPr>
          <w:rFonts w:cs="Calibri"/>
        </w:rPr>
        <w:t xml:space="preserve">NCA must be interpreted “in a manner that gives effect to the purposes set out in </w:t>
      </w:r>
      <w:r>
        <w:rPr>
          <w:rFonts w:cs="Calibri"/>
        </w:rPr>
        <w:t>S</w:t>
      </w:r>
      <w:r w:rsidRPr="0011767D">
        <w:rPr>
          <w:rFonts w:cs="Calibri"/>
        </w:rPr>
        <w:t>ection 3.”</w:t>
      </w:r>
      <w:r w:rsidRPr="0011767D">
        <w:rPr>
          <w:rFonts w:cs="Calibri"/>
          <w:vertAlign w:val="superscript"/>
        </w:rPr>
        <w:footnoteReference w:id="8"/>
      </w:r>
      <w:r w:rsidRPr="0011767D">
        <w:rPr>
          <w:rFonts w:cs="Calibri"/>
        </w:rPr>
        <w:t xml:space="preserve"> Section 3(g) makes express reference to “addressing and preventing over-indebtedness of Consumers, and providing mechanisms for resolving over-indebtedness based on the principle of satisfaction by the </w:t>
      </w:r>
      <w:r>
        <w:rPr>
          <w:rFonts w:cs="Calibri"/>
        </w:rPr>
        <w:t xml:space="preserve">Consumer </w:t>
      </w:r>
      <w:r w:rsidRPr="0011767D">
        <w:rPr>
          <w:rFonts w:cs="Calibri"/>
        </w:rPr>
        <w:t xml:space="preserve">of all responsible financial obligations”. Cognisance should also be taken of the wording of </w:t>
      </w:r>
      <w:r>
        <w:rPr>
          <w:rFonts w:cs="Calibri"/>
        </w:rPr>
        <w:t>S</w:t>
      </w:r>
      <w:r w:rsidRPr="0011767D">
        <w:rPr>
          <w:rFonts w:cs="Calibri"/>
        </w:rPr>
        <w:t>ection 85:</w:t>
      </w:r>
    </w:p>
    <w:p w:rsidR="008A42AE" w:rsidRPr="0011767D" w:rsidRDefault="008A42AE" w:rsidP="001D73BE">
      <w:pPr>
        <w:autoSpaceDE w:val="0"/>
        <w:autoSpaceDN w:val="0"/>
        <w:adjustRightInd w:val="0"/>
        <w:spacing w:after="0" w:line="360" w:lineRule="auto"/>
        <w:ind w:left="1353" w:right="662"/>
        <w:rPr>
          <w:rFonts w:cs="Calibri"/>
          <w:color w:val="000000"/>
        </w:rPr>
      </w:pPr>
      <w:r w:rsidRPr="0011767D">
        <w:rPr>
          <w:rFonts w:cs="Calibri"/>
          <w:color w:val="000000"/>
        </w:rPr>
        <w:t xml:space="preserve">“Despite any provision of law or agreement to the contrary, in any </w:t>
      </w:r>
      <w:r>
        <w:rPr>
          <w:rFonts w:cs="Calibri"/>
          <w:color w:val="000000"/>
        </w:rPr>
        <w:t>C</w:t>
      </w:r>
      <w:r w:rsidRPr="0011767D">
        <w:rPr>
          <w:rFonts w:cs="Calibri"/>
          <w:color w:val="000000"/>
        </w:rPr>
        <w:t xml:space="preserve">ourt proceedings in which a credit agreement is being considered, if it is alleged that the </w:t>
      </w:r>
      <w:r>
        <w:rPr>
          <w:rFonts w:cs="Calibri"/>
          <w:color w:val="000000"/>
        </w:rPr>
        <w:t xml:space="preserve">Consumer </w:t>
      </w:r>
      <w:r w:rsidRPr="0011767D">
        <w:rPr>
          <w:rFonts w:cs="Calibri"/>
          <w:color w:val="000000"/>
        </w:rPr>
        <w:t xml:space="preserve">under a credit agreement is over-indebted, the </w:t>
      </w:r>
      <w:r>
        <w:rPr>
          <w:rFonts w:cs="Calibri"/>
          <w:color w:val="000000"/>
        </w:rPr>
        <w:t>C</w:t>
      </w:r>
      <w:r w:rsidRPr="0011767D">
        <w:rPr>
          <w:rFonts w:cs="Calibri"/>
          <w:color w:val="000000"/>
        </w:rPr>
        <w:t xml:space="preserve">ourt may— </w:t>
      </w:r>
    </w:p>
    <w:p w:rsidR="008A42AE" w:rsidRPr="00254F9B" w:rsidRDefault="008A42AE" w:rsidP="00254F9B">
      <w:pPr>
        <w:pStyle w:val="ListParagraph"/>
        <w:numPr>
          <w:ilvl w:val="0"/>
          <w:numId w:val="14"/>
        </w:numPr>
        <w:autoSpaceDE w:val="0"/>
        <w:autoSpaceDN w:val="0"/>
        <w:adjustRightInd w:val="0"/>
        <w:spacing w:after="0" w:line="360" w:lineRule="auto"/>
        <w:ind w:right="662"/>
        <w:rPr>
          <w:rFonts w:cs="Calibri"/>
          <w:color w:val="000000"/>
        </w:rPr>
      </w:pPr>
      <w:r w:rsidRPr="00254F9B">
        <w:rPr>
          <w:rFonts w:cs="Calibri"/>
          <w:color w:val="000000"/>
        </w:rPr>
        <w:t xml:space="preserve">refer the matter directly to a Debt Counsellor with a request that the Debt Counsellor evaluate the Consumer’s circumstances and make a recommendation to the </w:t>
      </w:r>
      <w:r>
        <w:rPr>
          <w:rFonts w:cs="Calibri"/>
          <w:color w:val="000000"/>
        </w:rPr>
        <w:t>C</w:t>
      </w:r>
      <w:r w:rsidRPr="00254F9B">
        <w:rPr>
          <w:rFonts w:cs="Calibri"/>
          <w:color w:val="000000"/>
        </w:rPr>
        <w:t xml:space="preserve">ourt in terms of section 86(7); or </w:t>
      </w:r>
    </w:p>
    <w:p w:rsidR="008A42AE" w:rsidRPr="00254F9B" w:rsidRDefault="008A42AE" w:rsidP="00254F9B">
      <w:pPr>
        <w:pStyle w:val="ListParagraph"/>
        <w:numPr>
          <w:ilvl w:val="0"/>
          <w:numId w:val="14"/>
        </w:numPr>
        <w:spacing w:line="360" w:lineRule="auto"/>
        <w:ind w:right="662"/>
        <w:rPr>
          <w:rFonts w:cs="Calibri"/>
        </w:rPr>
      </w:pPr>
      <w:r w:rsidRPr="00254F9B">
        <w:rPr>
          <w:rFonts w:cs="Calibri"/>
          <w:color w:val="000000"/>
        </w:rPr>
        <w:t xml:space="preserve"> declare that the Consumer</w:t>
      </w:r>
      <w:r>
        <w:rPr>
          <w:rFonts w:cs="Calibri"/>
          <w:color w:val="000000"/>
        </w:rPr>
        <w:t xml:space="preserve"> </w:t>
      </w:r>
      <w:r w:rsidRPr="00254F9B">
        <w:rPr>
          <w:rFonts w:cs="Calibri"/>
          <w:color w:val="000000"/>
        </w:rPr>
        <w:t xml:space="preserve">is over-indebted, as determined in accordance with this Part, and make any order contemplated in </w:t>
      </w:r>
      <w:r>
        <w:rPr>
          <w:rFonts w:cs="Calibri"/>
          <w:color w:val="000000"/>
        </w:rPr>
        <w:t>S</w:t>
      </w:r>
      <w:r w:rsidRPr="00254F9B">
        <w:rPr>
          <w:rFonts w:cs="Calibri"/>
          <w:color w:val="000000"/>
        </w:rPr>
        <w:t xml:space="preserve">ection 87 to relieve the Consumer’s over-indebtedness.”  </w:t>
      </w:r>
    </w:p>
    <w:p w:rsidR="008A42AE" w:rsidRPr="0011767D" w:rsidRDefault="008A42AE" w:rsidP="00061FED">
      <w:pPr>
        <w:spacing w:line="360" w:lineRule="auto"/>
        <w:ind w:left="720"/>
        <w:jc w:val="both"/>
        <w:rPr>
          <w:rFonts w:cs="Calibri"/>
        </w:rPr>
      </w:pPr>
      <w:r w:rsidRPr="0011767D">
        <w:rPr>
          <w:rFonts w:cs="Calibri"/>
        </w:rPr>
        <w:t>According to Botha</w:t>
      </w:r>
      <w:r w:rsidRPr="0011767D">
        <w:rPr>
          <w:rFonts w:cs="Calibri"/>
          <w:vertAlign w:val="superscript"/>
        </w:rPr>
        <w:footnoteReference w:id="9"/>
      </w:r>
      <w:r w:rsidRPr="0011767D">
        <w:rPr>
          <w:rFonts w:cs="Calibri"/>
        </w:rPr>
        <w:t>: “</w:t>
      </w:r>
      <w:r w:rsidRPr="0011767D">
        <w:rPr>
          <w:rFonts w:cs="Calibri"/>
          <w:i/>
          <w:iCs/>
        </w:rPr>
        <w:t>if legislation demands or allows a certain result or action that which is reasonably necessary to bring about that express result or action may be implied: in other words, cases where additional powers or authority are implied as a result of an express power or authority</w:t>
      </w:r>
      <w:r w:rsidRPr="0011767D">
        <w:rPr>
          <w:rFonts w:cs="Calibri"/>
        </w:rPr>
        <w:t xml:space="preserve">.” Whereas this may seem to inhibit such termination or withdrawal, one also tends to wonder what this “common law” right to terminate or withdraw may be, i.e. since </w:t>
      </w:r>
      <w:r>
        <w:rPr>
          <w:rFonts w:cs="Calibri"/>
        </w:rPr>
        <w:t>Debt Review</w:t>
      </w:r>
      <w:r w:rsidRPr="0011767D">
        <w:rPr>
          <w:rFonts w:cs="Calibri"/>
        </w:rPr>
        <w:t xml:space="preserve"> is a statutory process, how can a common law right in terms of such a statutory process exist? </w:t>
      </w:r>
    </w:p>
    <w:p w:rsidR="008A42AE" w:rsidRPr="00A348BD" w:rsidRDefault="008A42AE" w:rsidP="0040268F">
      <w:pPr>
        <w:autoSpaceDE w:val="0"/>
        <w:autoSpaceDN w:val="0"/>
        <w:adjustRightInd w:val="0"/>
        <w:spacing w:line="360" w:lineRule="auto"/>
        <w:ind w:left="720"/>
        <w:jc w:val="both"/>
        <w:rPr>
          <w:rFonts w:cs="Calibri"/>
          <w:lang w:eastAsia="en-ZA"/>
        </w:rPr>
      </w:pPr>
      <w:r>
        <w:rPr>
          <w:rFonts w:cs="Calibri"/>
        </w:rPr>
        <w:t xml:space="preserve">Despite this and based on the </w:t>
      </w:r>
      <w:r>
        <w:rPr>
          <w:rFonts w:cs="Calibri"/>
          <w:lang w:eastAsia="en-ZA"/>
        </w:rPr>
        <w:t xml:space="preserve">on the legal opinion the Consumer does not have any common law right to withdraw from the Debt Review process once a Debt Counsellor has made a determination in terms of Section 86(7). </w:t>
      </w:r>
    </w:p>
    <w:p w:rsidR="008A42AE" w:rsidRDefault="008A42AE" w:rsidP="00061FED">
      <w:pPr>
        <w:autoSpaceDE w:val="0"/>
        <w:autoSpaceDN w:val="0"/>
        <w:adjustRightInd w:val="0"/>
        <w:spacing w:line="360" w:lineRule="auto"/>
        <w:ind w:left="360" w:firstLine="360"/>
        <w:jc w:val="both"/>
        <w:rPr>
          <w:rFonts w:cs="Calibri"/>
          <w:b/>
          <w:lang w:eastAsia="en-ZA"/>
        </w:rPr>
      </w:pPr>
      <w:r>
        <w:rPr>
          <w:rFonts w:cs="Calibri"/>
          <w:b/>
          <w:lang w:eastAsia="en-ZA"/>
        </w:rPr>
        <w:t>CIF Guideline</w:t>
      </w:r>
      <w:r w:rsidRPr="001D73BE">
        <w:rPr>
          <w:rFonts w:cs="Calibri"/>
          <w:b/>
          <w:lang w:eastAsia="en-ZA"/>
        </w:rPr>
        <w:t>:</w:t>
      </w:r>
    </w:p>
    <w:p w:rsidR="008A42AE" w:rsidRDefault="008A42AE" w:rsidP="0040268F">
      <w:pPr>
        <w:ind w:left="720"/>
        <w:jc w:val="both"/>
      </w:pPr>
      <w:r w:rsidRPr="0038225F">
        <w:t xml:space="preserve">Consumers will be allowed to withdraw or terminate a </w:t>
      </w:r>
      <w:r>
        <w:t>Debt Review</w:t>
      </w:r>
      <w:r w:rsidRPr="0038225F">
        <w:t xml:space="preserve"> </w:t>
      </w:r>
      <w:r>
        <w:t xml:space="preserve">prior to the issuing of Form 17.2 (Prior to the Debt Counsellors declaring the Consumer over-indebted) subject to the Consumer paying all fees due to the Debt Counsellor for services rendered up to that point. </w:t>
      </w:r>
    </w:p>
    <w:p w:rsidR="008A42AE" w:rsidRDefault="008A42AE" w:rsidP="0040268F">
      <w:pPr>
        <w:ind w:left="720"/>
        <w:jc w:val="both"/>
      </w:pPr>
      <w:r>
        <w:t xml:space="preserve">The Debt Counsellor who receives the request for withdrawal or termination prior to Form 17.2 and where the Consumers is up to date with Debt Counselling Fees due will terminate the Debt Review listing on the Credit Bureaus by selecting the Consumer Withdrawal option of NCR Debt Help. </w:t>
      </w:r>
    </w:p>
    <w:p w:rsidR="008A42AE" w:rsidRDefault="008A42AE" w:rsidP="0040268F">
      <w:pPr>
        <w:ind w:left="720"/>
        <w:jc w:val="both"/>
      </w:pPr>
      <w:r>
        <w:t xml:space="preserve">Debt Counsellors also have to notify all Credit Providers. </w:t>
      </w:r>
    </w:p>
    <w:p w:rsidR="008A42AE" w:rsidRDefault="008A42AE" w:rsidP="00061FED">
      <w:pPr>
        <w:pStyle w:val="ListParagraph"/>
        <w:ind w:left="1440"/>
        <w:jc w:val="both"/>
      </w:pPr>
    </w:p>
    <w:p w:rsidR="008A42AE" w:rsidRDefault="008A42AE" w:rsidP="00FF76A3">
      <w:pPr>
        <w:pStyle w:val="ListParagraph"/>
        <w:numPr>
          <w:ilvl w:val="0"/>
          <w:numId w:val="1"/>
        </w:numPr>
        <w:autoSpaceDE w:val="0"/>
        <w:autoSpaceDN w:val="0"/>
        <w:adjustRightInd w:val="0"/>
        <w:spacing w:line="360" w:lineRule="auto"/>
        <w:jc w:val="both"/>
        <w:rPr>
          <w:rFonts w:cs="Calibri"/>
          <w:b/>
          <w:lang w:eastAsia="en-ZA"/>
        </w:rPr>
      </w:pPr>
      <w:r>
        <w:rPr>
          <w:rFonts w:cs="Calibri"/>
          <w:b/>
          <w:lang w:eastAsia="en-ZA"/>
        </w:rPr>
        <w:t xml:space="preserve">Can Debt Counsellors withdraw their services from the Consumer under Debt Review, where the Consumer is not co-operating once a determination is made in terms of Section 86(7)? This withdrawal is done on a basis that the entire Debt Review process is not terminated. </w:t>
      </w:r>
    </w:p>
    <w:p w:rsidR="008A42AE" w:rsidRDefault="008A42AE" w:rsidP="00061FED">
      <w:pPr>
        <w:autoSpaceDE w:val="0"/>
        <w:autoSpaceDN w:val="0"/>
        <w:adjustRightInd w:val="0"/>
        <w:spacing w:line="360" w:lineRule="auto"/>
        <w:ind w:left="720"/>
        <w:jc w:val="both"/>
        <w:rPr>
          <w:rFonts w:cs="Calibri"/>
          <w:lang w:eastAsia="en-ZA"/>
        </w:rPr>
      </w:pPr>
      <w:r w:rsidRPr="00FF76A3">
        <w:rPr>
          <w:rFonts w:cs="Calibri"/>
          <w:lang w:eastAsia="en-ZA"/>
        </w:rPr>
        <w:t xml:space="preserve">In terms </w:t>
      </w:r>
      <w:r>
        <w:rPr>
          <w:rFonts w:cs="Calibri"/>
          <w:lang w:eastAsia="en-ZA"/>
        </w:rPr>
        <w:t xml:space="preserve">of </w:t>
      </w:r>
      <w:r w:rsidRPr="00FF76A3">
        <w:rPr>
          <w:rFonts w:cs="Calibri"/>
          <w:lang w:eastAsia="en-ZA"/>
        </w:rPr>
        <w:t xml:space="preserve">the legal opinion obtained by the NCR </w:t>
      </w:r>
      <w:r>
        <w:rPr>
          <w:rFonts w:cs="Calibri"/>
          <w:lang w:eastAsia="en-ZA"/>
        </w:rPr>
        <w:t xml:space="preserve">the Debt Counsellor provides a statutory function and does not have the discretion to withdraw its services even if Consumer does not cooperate. In terms of this opinion the Debt Counsellors should lay a complaint in terms of Section 136 with the NCR that the Consumer is not participating in good faith. </w:t>
      </w:r>
    </w:p>
    <w:p w:rsidR="008A42AE" w:rsidRDefault="008A42AE" w:rsidP="00061FED">
      <w:pPr>
        <w:autoSpaceDE w:val="0"/>
        <w:autoSpaceDN w:val="0"/>
        <w:adjustRightInd w:val="0"/>
        <w:spacing w:line="360" w:lineRule="auto"/>
        <w:ind w:left="720"/>
        <w:jc w:val="both"/>
        <w:rPr>
          <w:rFonts w:cs="Calibri"/>
          <w:lang w:eastAsia="en-ZA"/>
        </w:rPr>
      </w:pPr>
      <w:r>
        <w:rPr>
          <w:rFonts w:cs="Calibri"/>
          <w:lang w:eastAsia="en-ZA"/>
        </w:rPr>
        <w:t xml:space="preserve">This legal opinion does not provide a practical industry solution to a situation where the Consumer fails to pay the prescribed Debt Counselling and Legal Fees. </w:t>
      </w:r>
    </w:p>
    <w:p w:rsidR="008A42AE" w:rsidRDefault="008A42AE" w:rsidP="00061FED">
      <w:pPr>
        <w:autoSpaceDE w:val="0"/>
        <w:autoSpaceDN w:val="0"/>
        <w:adjustRightInd w:val="0"/>
        <w:spacing w:line="360" w:lineRule="auto"/>
        <w:ind w:left="720"/>
        <w:jc w:val="both"/>
        <w:rPr>
          <w:rFonts w:cs="Calibri"/>
          <w:lang w:eastAsia="en-ZA"/>
        </w:rPr>
      </w:pPr>
      <w:r>
        <w:rPr>
          <w:rFonts w:cs="Calibri"/>
          <w:lang w:eastAsia="en-ZA"/>
        </w:rPr>
        <w:t xml:space="preserve">As set out above it is clear that the Debt Counsellors can never terminate the Debt Review. Should a Consumer fail to cooperate, by not paying the prescribed Debt Counselling and Legal Fees or submitting the required documentation, the Consumer’s non-cooperation leaves the Debt Counsellor without a mandate and this should enable the Debt Counsellor to withdraw its services. </w:t>
      </w:r>
    </w:p>
    <w:p w:rsidR="008A42AE" w:rsidRPr="008448E6" w:rsidRDefault="008A42AE" w:rsidP="00061FED">
      <w:pPr>
        <w:autoSpaceDE w:val="0"/>
        <w:autoSpaceDN w:val="0"/>
        <w:adjustRightInd w:val="0"/>
        <w:spacing w:line="360" w:lineRule="auto"/>
        <w:ind w:left="720"/>
        <w:jc w:val="both"/>
        <w:rPr>
          <w:rFonts w:cs="Calibri"/>
          <w:b/>
          <w:lang w:eastAsia="en-ZA"/>
        </w:rPr>
      </w:pPr>
      <w:r>
        <w:rPr>
          <w:rFonts w:cs="Calibri"/>
          <w:b/>
          <w:lang w:eastAsia="en-ZA"/>
        </w:rPr>
        <w:t>CIF Guideline</w:t>
      </w:r>
      <w:r w:rsidRPr="008448E6">
        <w:rPr>
          <w:rFonts w:cs="Calibri"/>
          <w:b/>
          <w:lang w:eastAsia="en-ZA"/>
        </w:rPr>
        <w:t>:</w:t>
      </w:r>
    </w:p>
    <w:p w:rsidR="008A42AE" w:rsidRDefault="008A42AE" w:rsidP="00061FED">
      <w:pPr>
        <w:autoSpaceDE w:val="0"/>
        <w:autoSpaceDN w:val="0"/>
        <w:adjustRightInd w:val="0"/>
        <w:spacing w:line="360" w:lineRule="auto"/>
        <w:ind w:left="720"/>
        <w:jc w:val="both"/>
        <w:rPr>
          <w:rFonts w:cs="Calibri"/>
          <w:lang w:eastAsia="en-ZA"/>
        </w:rPr>
      </w:pPr>
      <w:r>
        <w:rPr>
          <w:rFonts w:cs="Calibri"/>
          <w:lang w:eastAsia="en-ZA"/>
        </w:rPr>
        <w:t xml:space="preserve">Where a Consumer is not co-operating with the process or fails to pay the prescribed fees the Debt Counsellor can withdraw its services. </w:t>
      </w:r>
    </w:p>
    <w:p w:rsidR="008A42AE" w:rsidRDefault="008A42AE" w:rsidP="005D03F5">
      <w:pPr>
        <w:autoSpaceDE w:val="0"/>
        <w:autoSpaceDN w:val="0"/>
        <w:adjustRightInd w:val="0"/>
        <w:spacing w:line="360" w:lineRule="auto"/>
        <w:ind w:left="720"/>
        <w:jc w:val="both"/>
      </w:pPr>
      <w:r>
        <w:t xml:space="preserve">The Debt Counsellor will notify the Consumer of the intended withdrawal of Service, the consequences and options and allow the Consumer 10 business days to remedy the situation.  </w:t>
      </w:r>
    </w:p>
    <w:p w:rsidR="008A42AE" w:rsidRDefault="008A42AE" w:rsidP="005D03F5">
      <w:pPr>
        <w:autoSpaceDE w:val="0"/>
        <w:autoSpaceDN w:val="0"/>
        <w:adjustRightInd w:val="0"/>
        <w:spacing w:line="360" w:lineRule="auto"/>
        <w:ind w:left="720"/>
        <w:jc w:val="both"/>
      </w:pPr>
      <w:r>
        <w:t xml:space="preserve">The following information to be included in the notice to the Consumer:  </w:t>
      </w:r>
    </w:p>
    <w:p w:rsidR="008A42AE" w:rsidRDefault="008A42AE" w:rsidP="005D03F5">
      <w:pPr>
        <w:pStyle w:val="ListParagraph"/>
        <w:numPr>
          <w:ilvl w:val="2"/>
          <w:numId w:val="1"/>
        </w:numPr>
        <w:autoSpaceDE w:val="0"/>
        <w:autoSpaceDN w:val="0"/>
        <w:adjustRightInd w:val="0"/>
        <w:spacing w:line="360" w:lineRule="auto"/>
        <w:jc w:val="both"/>
      </w:pPr>
      <w:r>
        <w:t>Notice of pending service suspension and the reasons;</w:t>
      </w:r>
    </w:p>
    <w:p w:rsidR="008A42AE" w:rsidRDefault="008A42AE" w:rsidP="005D03F5">
      <w:pPr>
        <w:pStyle w:val="ListParagraph"/>
        <w:numPr>
          <w:ilvl w:val="2"/>
          <w:numId w:val="1"/>
        </w:numPr>
        <w:autoSpaceDE w:val="0"/>
        <w:autoSpaceDN w:val="0"/>
        <w:adjustRightInd w:val="0"/>
        <w:spacing w:line="360" w:lineRule="auto"/>
        <w:jc w:val="both"/>
      </w:pPr>
      <w:r>
        <w:t>Option to remedy the situation within 10 working days;</w:t>
      </w:r>
    </w:p>
    <w:p w:rsidR="008A42AE" w:rsidRDefault="008A42AE" w:rsidP="005D03F5">
      <w:pPr>
        <w:pStyle w:val="ListParagraph"/>
        <w:numPr>
          <w:ilvl w:val="2"/>
          <w:numId w:val="1"/>
        </w:numPr>
        <w:autoSpaceDE w:val="0"/>
        <w:autoSpaceDN w:val="0"/>
        <w:adjustRightInd w:val="0"/>
        <w:spacing w:line="360" w:lineRule="auto"/>
        <w:jc w:val="both"/>
      </w:pPr>
      <w:r>
        <w:t>That the Consumer will remain under Debt Review and will not have access to new credit.</w:t>
      </w:r>
    </w:p>
    <w:p w:rsidR="008A42AE" w:rsidRDefault="008A42AE" w:rsidP="005D03F5">
      <w:pPr>
        <w:pStyle w:val="ListParagraph"/>
        <w:numPr>
          <w:ilvl w:val="2"/>
          <w:numId w:val="1"/>
        </w:numPr>
        <w:autoSpaceDE w:val="0"/>
        <w:autoSpaceDN w:val="0"/>
        <w:adjustRightInd w:val="0"/>
        <w:spacing w:line="360" w:lineRule="auto"/>
        <w:jc w:val="both"/>
      </w:pPr>
      <w:r>
        <w:t xml:space="preserve">The Debt Counsellor will not be able to issue a Clearance Certificate when debt has been repaid.   </w:t>
      </w:r>
    </w:p>
    <w:p w:rsidR="008A42AE" w:rsidRDefault="008A42AE" w:rsidP="001D73BE">
      <w:pPr>
        <w:pStyle w:val="ListParagraph"/>
        <w:ind w:left="1080"/>
        <w:jc w:val="both"/>
      </w:pPr>
    </w:p>
    <w:p w:rsidR="008A42AE" w:rsidRDefault="008A42AE" w:rsidP="001D73BE">
      <w:pPr>
        <w:pStyle w:val="ListParagraph"/>
        <w:ind w:left="1080"/>
        <w:jc w:val="both"/>
      </w:pPr>
    </w:p>
    <w:p w:rsidR="008A42AE" w:rsidRDefault="008A42AE" w:rsidP="001D73BE">
      <w:pPr>
        <w:pStyle w:val="ListParagraph"/>
        <w:ind w:left="1080"/>
        <w:jc w:val="both"/>
      </w:pPr>
    </w:p>
    <w:p w:rsidR="008A42AE" w:rsidRDefault="008A42AE" w:rsidP="001D73BE">
      <w:pPr>
        <w:pStyle w:val="ListParagraph"/>
        <w:ind w:left="1080"/>
        <w:jc w:val="both"/>
      </w:pPr>
    </w:p>
    <w:p w:rsidR="008A42AE" w:rsidRDefault="008A42AE" w:rsidP="001D73BE">
      <w:pPr>
        <w:pStyle w:val="ListParagraph"/>
        <w:ind w:left="1080"/>
        <w:jc w:val="both"/>
      </w:pPr>
    </w:p>
    <w:p w:rsidR="008A42AE" w:rsidRDefault="008A42AE" w:rsidP="001D73BE">
      <w:pPr>
        <w:pStyle w:val="ListParagraph"/>
        <w:ind w:left="1080"/>
        <w:jc w:val="both"/>
      </w:pPr>
    </w:p>
    <w:p w:rsidR="008A42AE" w:rsidRDefault="008A42AE" w:rsidP="001D73BE">
      <w:pPr>
        <w:pStyle w:val="ListParagraph"/>
        <w:ind w:left="1080"/>
        <w:jc w:val="both"/>
      </w:pPr>
    </w:p>
    <w:p w:rsidR="008A42AE" w:rsidRDefault="008A42AE" w:rsidP="00CE43AC">
      <w:pPr>
        <w:pStyle w:val="ListParagraph"/>
        <w:numPr>
          <w:ilvl w:val="0"/>
          <w:numId w:val="1"/>
        </w:numPr>
        <w:autoSpaceDE w:val="0"/>
        <w:autoSpaceDN w:val="0"/>
        <w:adjustRightInd w:val="0"/>
        <w:spacing w:line="360" w:lineRule="auto"/>
        <w:jc w:val="both"/>
        <w:rPr>
          <w:rFonts w:cs="Calibri"/>
          <w:b/>
          <w:lang w:eastAsia="en-ZA"/>
        </w:rPr>
      </w:pPr>
      <w:r w:rsidRPr="00CE43AC">
        <w:rPr>
          <w:rFonts w:cs="Calibri"/>
          <w:b/>
          <w:lang w:eastAsia="en-ZA"/>
        </w:rPr>
        <w:t xml:space="preserve">Can </w:t>
      </w:r>
      <w:r>
        <w:rPr>
          <w:rFonts w:cs="Calibri"/>
          <w:b/>
          <w:lang w:eastAsia="en-ZA"/>
        </w:rPr>
        <w:t xml:space="preserve">a Consumer that is under Debt Review be transferred to another </w:t>
      </w:r>
      <w:r w:rsidRPr="00CE43AC">
        <w:rPr>
          <w:rFonts w:cs="Calibri"/>
          <w:b/>
          <w:lang w:eastAsia="en-ZA"/>
        </w:rPr>
        <w:t>Debt Counsellor</w:t>
      </w:r>
      <w:r>
        <w:rPr>
          <w:rFonts w:cs="Calibri"/>
          <w:b/>
          <w:lang w:eastAsia="en-ZA"/>
        </w:rPr>
        <w:t>?</w:t>
      </w:r>
    </w:p>
    <w:p w:rsidR="008A42AE" w:rsidRDefault="008A42AE" w:rsidP="0036610D">
      <w:pPr>
        <w:autoSpaceDE w:val="0"/>
        <w:autoSpaceDN w:val="0"/>
        <w:adjustRightInd w:val="0"/>
        <w:spacing w:line="360" w:lineRule="auto"/>
        <w:ind w:left="360"/>
        <w:jc w:val="both"/>
        <w:rPr>
          <w:rFonts w:cs="Calibri"/>
          <w:lang w:eastAsia="en-ZA"/>
        </w:rPr>
      </w:pPr>
      <w:r w:rsidRPr="00CE43AC">
        <w:rPr>
          <w:rFonts w:cs="Calibri"/>
          <w:lang w:eastAsia="en-ZA"/>
        </w:rPr>
        <w:t xml:space="preserve">The consensus legal view is that a Consumer who is under </w:t>
      </w:r>
      <w:r>
        <w:rPr>
          <w:rFonts w:cs="Calibri"/>
          <w:lang w:eastAsia="en-ZA"/>
        </w:rPr>
        <w:t>Debt Review</w:t>
      </w:r>
      <w:r w:rsidRPr="00CE43AC">
        <w:rPr>
          <w:rFonts w:cs="Calibri"/>
          <w:lang w:eastAsia="en-ZA"/>
        </w:rPr>
        <w:t xml:space="preserve"> can be transferred </w:t>
      </w:r>
      <w:r>
        <w:rPr>
          <w:rFonts w:cs="Calibri"/>
          <w:lang w:eastAsia="en-ZA"/>
        </w:rPr>
        <w:t>to another Debt Counsellor.</w:t>
      </w:r>
    </w:p>
    <w:p w:rsidR="008A42AE" w:rsidRDefault="008A42AE" w:rsidP="0036610D">
      <w:pPr>
        <w:autoSpaceDE w:val="0"/>
        <w:autoSpaceDN w:val="0"/>
        <w:adjustRightInd w:val="0"/>
        <w:spacing w:line="360" w:lineRule="auto"/>
        <w:ind w:left="360"/>
        <w:jc w:val="both"/>
        <w:rPr>
          <w:rFonts w:cs="Calibri"/>
          <w:b/>
          <w:lang w:eastAsia="en-ZA"/>
        </w:rPr>
      </w:pPr>
      <w:r>
        <w:rPr>
          <w:rFonts w:cs="Calibri"/>
          <w:b/>
          <w:lang w:eastAsia="en-ZA"/>
        </w:rPr>
        <w:t xml:space="preserve">CIF Guideline: </w:t>
      </w:r>
    </w:p>
    <w:p w:rsidR="008A42AE" w:rsidRDefault="008A42AE" w:rsidP="0036610D">
      <w:pPr>
        <w:autoSpaceDE w:val="0"/>
        <w:autoSpaceDN w:val="0"/>
        <w:adjustRightInd w:val="0"/>
        <w:spacing w:line="360" w:lineRule="auto"/>
        <w:ind w:left="360"/>
        <w:jc w:val="both"/>
        <w:rPr>
          <w:rFonts w:cs="Calibri"/>
          <w:lang w:eastAsia="en-ZA"/>
        </w:rPr>
      </w:pPr>
      <w:r w:rsidRPr="00030CAC">
        <w:rPr>
          <w:rFonts w:cs="Calibri"/>
          <w:lang w:eastAsia="en-ZA"/>
        </w:rPr>
        <w:t xml:space="preserve">Consumers under </w:t>
      </w:r>
      <w:r>
        <w:rPr>
          <w:rFonts w:cs="Calibri"/>
          <w:lang w:eastAsia="en-ZA"/>
        </w:rPr>
        <w:t>Debt Review</w:t>
      </w:r>
      <w:r w:rsidRPr="00030CAC">
        <w:rPr>
          <w:rFonts w:cs="Calibri"/>
          <w:lang w:eastAsia="en-ZA"/>
        </w:rPr>
        <w:t xml:space="preserve"> may be transferred to another Debt Counsellor</w:t>
      </w:r>
      <w:r>
        <w:rPr>
          <w:rFonts w:cs="Calibri"/>
          <w:lang w:eastAsia="en-ZA"/>
        </w:rPr>
        <w:t xml:space="preserve"> subject to the payment of all Debt Counselling fees due when transfer was requested. The effect of the transfer is a continuation of the Debt Review process. The process and fee structure carries on from point of transfer.  Consumers are not required to pay professional fee for second time.</w:t>
      </w:r>
    </w:p>
    <w:p w:rsidR="008A42AE" w:rsidRDefault="008A42AE" w:rsidP="001D73BE">
      <w:pPr>
        <w:autoSpaceDE w:val="0"/>
        <w:autoSpaceDN w:val="0"/>
        <w:adjustRightInd w:val="0"/>
        <w:spacing w:line="360" w:lineRule="auto"/>
        <w:ind w:left="360"/>
        <w:jc w:val="both"/>
        <w:rPr>
          <w:rFonts w:cs="Calibri"/>
          <w:lang w:eastAsia="en-ZA"/>
        </w:rPr>
      </w:pPr>
    </w:p>
    <w:p w:rsidR="008A42AE" w:rsidRDefault="008A42AE" w:rsidP="00030CAC">
      <w:pPr>
        <w:pStyle w:val="ListParagraph"/>
        <w:numPr>
          <w:ilvl w:val="0"/>
          <w:numId w:val="1"/>
        </w:numPr>
        <w:autoSpaceDE w:val="0"/>
        <w:autoSpaceDN w:val="0"/>
        <w:adjustRightInd w:val="0"/>
        <w:spacing w:line="360" w:lineRule="auto"/>
        <w:jc w:val="both"/>
        <w:rPr>
          <w:rFonts w:cs="Calibri"/>
          <w:b/>
          <w:lang w:eastAsia="en-ZA"/>
        </w:rPr>
      </w:pPr>
      <w:r w:rsidRPr="00CE43AC">
        <w:rPr>
          <w:rFonts w:cs="Calibri"/>
          <w:b/>
          <w:lang w:eastAsia="en-ZA"/>
        </w:rPr>
        <w:t xml:space="preserve">Can </w:t>
      </w:r>
      <w:r>
        <w:rPr>
          <w:rFonts w:cs="Calibri"/>
          <w:b/>
          <w:lang w:eastAsia="en-ZA"/>
        </w:rPr>
        <w:t xml:space="preserve">a Consumer remain under Debt Review without a Debt Counsellor? </w:t>
      </w:r>
    </w:p>
    <w:p w:rsidR="008A42AE" w:rsidRDefault="008A42AE" w:rsidP="00344A77">
      <w:pPr>
        <w:pStyle w:val="ListParagraph"/>
        <w:autoSpaceDE w:val="0"/>
        <w:autoSpaceDN w:val="0"/>
        <w:adjustRightInd w:val="0"/>
        <w:spacing w:line="360" w:lineRule="auto"/>
        <w:ind w:left="360"/>
        <w:jc w:val="both"/>
        <w:rPr>
          <w:rFonts w:cs="Calibri"/>
          <w:b/>
          <w:lang w:eastAsia="en-ZA"/>
        </w:rPr>
      </w:pPr>
    </w:p>
    <w:p w:rsidR="008A42AE" w:rsidRPr="00CF07F9" w:rsidRDefault="008A42AE" w:rsidP="0036610D">
      <w:pPr>
        <w:pStyle w:val="ListParagraph"/>
        <w:autoSpaceDE w:val="0"/>
        <w:autoSpaceDN w:val="0"/>
        <w:adjustRightInd w:val="0"/>
        <w:spacing w:line="360" w:lineRule="auto"/>
        <w:ind w:left="360"/>
        <w:jc w:val="both"/>
        <w:rPr>
          <w:rFonts w:cs="Calibri"/>
          <w:lang w:eastAsia="en-ZA"/>
        </w:rPr>
      </w:pPr>
      <w:r w:rsidRPr="00CF07F9">
        <w:rPr>
          <w:rFonts w:cs="Calibri"/>
          <w:lang w:eastAsia="en-ZA"/>
        </w:rPr>
        <w:t xml:space="preserve">Two scenarios are possible. </w:t>
      </w:r>
      <w:r>
        <w:rPr>
          <w:rFonts w:cs="Calibri"/>
          <w:lang w:eastAsia="en-ZA"/>
        </w:rPr>
        <w:t xml:space="preserve">The Debt Counsellor no longer providing a Debt Counselling service or the Consumer decides to be under Debt Review without a Debt Counsellor. In the last scenario the Consumer would typically continue with payments to Credit Providers. </w:t>
      </w:r>
    </w:p>
    <w:p w:rsidR="008A42AE" w:rsidRDefault="008A42AE" w:rsidP="0036610D">
      <w:pPr>
        <w:autoSpaceDE w:val="0"/>
        <w:autoSpaceDN w:val="0"/>
        <w:adjustRightInd w:val="0"/>
        <w:spacing w:line="360" w:lineRule="auto"/>
        <w:ind w:left="360"/>
        <w:jc w:val="both"/>
        <w:rPr>
          <w:rFonts w:cs="Calibri"/>
          <w:b/>
          <w:lang w:eastAsia="en-ZA"/>
        </w:rPr>
      </w:pPr>
      <w:r>
        <w:rPr>
          <w:rFonts w:cs="Calibri"/>
          <w:b/>
          <w:lang w:eastAsia="en-ZA"/>
        </w:rPr>
        <w:t xml:space="preserve">CIF Guideline: </w:t>
      </w:r>
    </w:p>
    <w:p w:rsidR="008A42AE" w:rsidRDefault="008A42AE" w:rsidP="0036610D">
      <w:pPr>
        <w:autoSpaceDE w:val="0"/>
        <w:autoSpaceDN w:val="0"/>
        <w:adjustRightInd w:val="0"/>
        <w:spacing w:line="360" w:lineRule="auto"/>
        <w:ind w:left="360"/>
        <w:jc w:val="both"/>
        <w:rPr>
          <w:rFonts w:cs="Calibri"/>
          <w:lang w:eastAsia="en-ZA"/>
        </w:rPr>
      </w:pPr>
      <w:r w:rsidRPr="000C6E81">
        <w:rPr>
          <w:rFonts w:cs="Calibri"/>
          <w:lang w:eastAsia="en-ZA"/>
        </w:rPr>
        <w:t xml:space="preserve">A Consumer cannot be under Debt Review without a Debt Counsellor. </w:t>
      </w:r>
    </w:p>
    <w:p w:rsidR="008A42AE" w:rsidRDefault="008A42AE" w:rsidP="0036610D">
      <w:pPr>
        <w:autoSpaceDE w:val="0"/>
        <w:autoSpaceDN w:val="0"/>
        <w:adjustRightInd w:val="0"/>
        <w:spacing w:line="360" w:lineRule="auto"/>
        <w:ind w:left="360"/>
        <w:jc w:val="both"/>
        <w:rPr>
          <w:rFonts w:cs="Calibri"/>
          <w:lang w:eastAsia="en-ZA"/>
        </w:rPr>
      </w:pPr>
      <w:r>
        <w:rPr>
          <w:rFonts w:cs="Calibri"/>
          <w:lang w:eastAsia="en-ZA"/>
        </w:rPr>
        <w:t xml:space="preserve">The Consumers should be made aware of the consequences and options by the Debt Counsellor in writing: </w:t>
      </w:r>
    </w:p>
    <w:p w:rsidR="008A42AE" w:rsidRDefault="008A42AE" w:rsidP="0036610D">
      <w:pPr>
        <w:autoSpaceDE w:val="0"/>
        <w:autoSpaceDN w:val="0"/>
        <w:adjustRightInd w:val="0"/>
        <w:spacing w:line="360" w:lineRule="auto"/>
        <w:ind w:left="360"/>
        <w:jc w:val="both"/>
        <w:rPr>
          <w:rFonts w:cs="Calibri"/>
          <w:lang w:eastAsia="en-ZA"/>
        </w:rPr>
      </w:pPr>
      <w:r>
        <w:t xml:space="preserve">The following information to be included in the notice to the Consumer:  </w:t>
      </w:r>
    </w:p>
    <w:p w:rsidR="008A42AE" w:rsidRDefault="008A42AE" w:rsidP="0036610D">
      <w:pPr>
        <w:pStyle w:val="ListParagraph"/>
        <w:numPr>
          <w:ilvl w:val="2"/>
          <w:numId w:val="1"/>
        </w:numPr>
        <w:autoSpaceDE w:val="0"/>
        <w:autoSpaceDN w:val="0"/>
        <w:adjustRightInd w:val="0"/>
        <w:spacing w:line="360" w:lineRule="auto"/>
        <w:ind w:left="1440"/>
        <w:jc w:val="both"/>
      </w:pPr>
      <w:r>
        <w:t>A Consumer cannot be under Debt Review without a Debt Counsellor.</w:t>
      </w:r>
    </w:p>
    <w:p w:rsidR="008A42AE" w:rsidRDefault="008A42AE" w:rsidP="0036610D">
      <w:pPr>
        <w:pStyle w:val="ListParagraph"/>
        <w:numPr>
          <w:ilvl w:val="2"/>
          <w:numId w:val="1"/>
        </w:numPr>
        <w:autoSpaceDE w:val="0"/>
        <w:autoSpaceDN w:val="0"/>
        <w:adjustRightInd w:val="0"/>
        <w:spacing w:line="360" w:lineRule="auto"/>
        <w:ind w:left="1440"/>
        <w:jc w:val="both"/>
      </w:pPr>
      <w:r>
        <w:t>Consumer has option to source a new Debt Counsellor within 30 days and request a transfer.</w:t>
      </w:r>
    </w:p>
    <w:p w:rsidR="008A42AE" w:rsidRDefault="008A42AE" w:rsidP="0036610D">
      <w:pPr>
        <w:pStyle w:val="ListParagraph"/>
        <w:numPr>
          <w:ilvl w:val="2"/>
          <w:numId w:val="1"/>
        </w:numPr>
        <w:autoSpaceDE w:val="0"/>
        <w:autoSpaceDN w:val="0"/>
        <w:adjustRightInd w:val="0"/>
        <w:spacing w:line="360" w:lineRule="auto"/>
        <w:ind w:left="1440"/>
        <w:jc w:val="both"/>
      </w:pPr>
      <w:r>
        <w:t xml:space="preserve">Due to the fact that the Debt Counsellor will not be able to issue a Clearance Certificate in terms of Section 71 when the Debt has been repaid the Consumer will remain under Debt Review and the Consumer will not be able to source new Debt. </w:t>
      </w:r>
    </w:p>
    <w:p w:rsidR="008A42AE" w:rsidRDefault="008A42AE" w:rsidP="00856CDA">
      <w:pPr>
        <w:pStyle w:val="ListParagraph"/>
        <w:autoSpaceDE w:val="0"/>
        <w:autoSpaceDN w:val="0"/>
        <w:adjustRightInd w:val="0"/>
        <w:spacing w:line="360" w:lineRule="auto"/>
        <w:ind w:left="360"/>
        <w:jc w:val="both"/>
      </w:pPr>
    </w:p>
    <w:p w:rsidR="008A42AE" w:rsidRDefault="008A42AE" w:rsidP="00856CDA">
      <w:pPr>
        <w:pStyle w:val="ListParagraph"/>
        <w:autoSpaceDE w:val="0"/>
        <w:autoSpaceDN w:val="0"/>
        <w:adjustRightInd w:val="0"/>
        <w:spacing w:line="360" w:lineRule="auto"/>
        <w:ind w:left="360"/>
        <w:jc w:val="both"/>
        <w:rPr>
          <w:sz w:val="16"/>
          <w:szCs w:val="16"/>
        </w:rPr>
      </w:pPr>
      <w:r w:rsidRPr="00856CDA">
        <w:rPr>
          <w:sz w:val="16"/>
          <w:szCs w:val="16"/>
        </w:rPr>
        <w:t xml:space="preserve">End </w:t>
      </w:r>
    </w:p>
    <w:p w:rsidR="008A42AE" w:rsidRDefault="008A42AE" w:rsidP="00856CDA">
      <w:pPr>
        <w:pStyle w:val="ListParagraph"/>
        <w:autoSpaceDE w:val="0"/>
        <w:autoSpaceDN w:val="0"/>
        <w:adjustRightInd w:val="0"/>
        <w:spacing w:line="360" w:lineRule="auto"/>
        <w:ind w:left="360"/>
        <w:jc w:val="both"/>
        <w:rPr>
          <w:sz w:val="16"/>
          <w:szCs w:val="16"/>
        </w:rPr>
      </w:pPr>
    </w:p>
    <w:sectPr w:rsidR="008A42AE" w:rsidSect="000879EB">
      <w:footerReference w:type="default" r:id="rId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42AE" w:rsidRDefault="008A42AE" w:rsidP="0038225F">
      <w:pPr>
        <w:spacing w:after="0" w:line="240" w:lineRule="auto"/>
      </w:pPr>
      <w:r>
        <w:separator/>
      </w:r>
    </w:p>
  </w:endnote>
  <w:endnote w:type="continuationSeparator" w:id="0">
    <w:p w:rsidR="008A42AE" w:rsidRDefault="008A42AE" w:rsidP="003822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2AE" w:rsidRDefault="008A42AE">
    <w:pPr>
      <w:pStyle w:val="Footer"/>
      <w:jc w:val="center"/>
    </w:pPr>
    <w:fldSimple w:instr=" PAGE   \* MERGEFORMAT ">
      <w:r>
        <w:rPr>
          <w:noProof/>
        </w:rPr>
        <w:t>1</w:t>
      </w:r>
    </w:fldSimple>
  </w:p>
  <w:p w:rsidR="008A42AE" w:rsidRDefault="008A42A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42AE" w:rsidRDefault="008A42AE" w:rsidP="0038225F">
      <w:pPr>
        <w:spacing w:after="0" w:line="240" w:lineRule="auto"/>
      </w:pPr>
      <w:r>
        <w:separator/>
      </w:r>
    </w:p>
  </w:footnote>
  <w:footnote w:type="continuationSeparator" w:id="0">
    <w:p w:rsidR="008A42AE" w:rsidRDefault="008A42AE" w:rsidP="0038225F">
      <w:pPr>
        <w:spacing w:after="0" w:line="240" w:lineRule="auto"/>
      </w:pPr>
      <w:r>
        <w:continuationSeparator/>
      </w:r>
    </w:p>
  </w:footnote>
  <w:footnote w:id="1">
    <w:p w:rsidR="008A42AE" w:rsidRDefault="008A42AE" w:rsidP="005D7E49">
      <w:pPr>
        <w:pStyle w:val="FootnoteText"/>
      </w:pPr>
      <w:r w:rsidRPr="00701F93">
        <w:rPr>
          <w:rStyle w:val="FootnoteReference"/>
          <w:sz w:val="16"/>
          <w:szCs w:val="16"/>
        </w:rPr>
        <w:footnoteRef/>
      </w:r>
      <w:r w:rsidRPr="00701F93">
        <w:rPr>
          <w:sz w:val="16"/>
          <w:szCs w:val="16"/>
        </w:rPr>
        <w:t xml:space="preserve"> </w:t>
      </w:r>
      <w:r w:rsidRPr="00701F93">
        <w:rPr>
          <w:sz w:val="16"/>
          <w:szCs w:val="16"/>
          <w:lang w:val="en-ZA"/>
        </w:rPr>
        <w:t>Roestoff et al PER 2009 (4)</w:t>
      </w:r>
    </w:p>
  </w:footnote>
  <w:footnote w:id="2">
    <w:p w:rsidR="008A42AE" w:rsidRDefault="008A42AE" w:rsidP="005D7E49">
      <w:pPr>
        <w:pStyle w:val="FootnoteText"/>
      </w:pPr>
      <w:r w:rsidRPr="0002400C">
        <w:rPr>
          <w:rStyle w:val="FootnoteReference"/>
        </w:rPr>
        <w:footnoteRef/>
      </w:r>
      <w:r w:rsidRPr="0002400C">
        <w:t xml:space="preserve"> </w:t>
      </w:r>
      <w:r w:rsidRPr="00701F93">
        <w:rPr>
          <w:bCs/>
          <w:i/>
          <w:sz w:val="16"/>
          <w:szCs w:val="16"/>
          <w:lang w:val="en-ZA"/>
        </w:rPr>
        <w:t>Bornman</w:t>
      </w:r>
      <w:r w:rsidRPr="00701F93">
        <w:rPr>
          <w:i/>
          <w:sz w:val="16"/>
          <w:szCs w:val="16"/>
          <w:lang w:val="en-ZA"/>
        </w:rPr>
        <w:t xml:space="preserve"> v National Credit Regulator</w:t>
      </w:r>
      <w:r w:rsidRPr="00701F93">
        <w:rPr>
          <w:sz w:val="16"/>
          <w:szCs w:val="16"/>
          <w:lang w:val="en-ZA"/>
        </w:rPr>
        <w:t xml:space="preserve"> </w:t>
      </w:r>
      <w:r w:rsidRPr="00701F93">
        <w:rPr>
          <w:b/>
          <w:sz w:val="16"/>
          <w:szCs w:val="16"/>
          <w:lang w:val="en-ZA"/>
        </w:rPr>
        <w:t>(798/12) [2013] ZASCA 130</w:t>
      </w:r>
    </w:p>
  </w:footnote>
  <w:footnote w:id="3">
    <w:p w:rsidR="008A42AE" w:rsidRDefault="008A42AE" w:rsidP="005D7E49">
      <w:pPr>
        <w:pStyle w:val="FootnoteText"/>
      </w:pPr>
      <w:r w:rsidRPr="00701F93">
        <w:rPr>
          <w:rStyle w:val="FootnoteReference"/>
          <w:sz w:val="16"/>
          <w:szCs w:val="16"/>
        </w:rPr>
        <w:footnoteRef/>
      </w:r>
      <w:r w:rsidRPr="00701F93">
        <w:rPr>
          <w:sz w:val="16"/>
          <w:szCs w:val="16"/>
        </w:rPr>
        <w:t xml:space="preserve"> </w:t>
      </w:r>
      <w:r w:rsidRPr="00701F93">
        <w:rPr>
          <w:i/>
          <w:sz w:val="16"/>
          <w:szCs w:val="16"/>
          <w:lang w:val="en-ZA"/>
        </w:rPr>
        <w:t>Firstrand Bank Ltd v Mvelase</w:t>
      </w:r>
      <w:r w:rsidRPr="00701F93">
        <w:rPr>
          <w:sz w:val="16"/>
          <w:szCs w:val="16"/>
          <w:lang w:val="en-ZA"/>
        </w:rPr>
        <w:t xml:space="preserve"> </w:t>
      </w:r>
      <w:r w:rsidRPr="00701F93">
        <w:rPr>
          <w:b/>
          <w:sz w:val="16"/>
          <w:szCs w:val="16"/>
          <w:lang w:val="en-ZA"/>
        </w:rPr>
        <w:t>2011 (1) SA 470 (KZP)</w:t>
      </w:r>
    </w:p>
  </w:footnote>
  <w:footnote w:id="4">
    <w:p w:rsidR="008A42AE" w:rsidRDefault="008A42AE" w:rsidP="005D7E49">
      <w:pPr>
        <w:pStyle w:val="FootnoteText"/>
      </w:pPr>
      <w:r w:rsidRPr="00701F93">
        <w:rPr>
          <w:rStyle w:val="FootnoteReference"/>
          <w:sz w:val="16"/>
          <w:szCs w:val="16"/>
        </w:rPr>
        <w:footnoteRef/>
      </w:r>
      <w:r w:rsidRPr="00701F93">
        <w:rPr>
          <w:sz w:val="16"/>
          <w:szCs w:val="16"/>
        </w:rPr>
        <w:t xml:space="preserve"> </w:t>
      </w:r>
      <w:r w:rsidRPr="00701F93">
        <w:rPr>
          <w:i/>
          <w:sz w:val="16"/>
          <w:szCs w:val="16"/>
          <w:lang w:val="en-ZA"/>
        </w:rPr>
        <w:t>Coetzee and Another v Nedbank Ltd</w:t>
      </w:r>
      <w:r w:rsidRPr="00701F93">
        <w:rPr>
          <w:sz w:val="16"/>
          <w:szCs w:val="16"/>
          <w:lang w:val="en-ZA"/>
        </w:rPr>
        <w:t xml:space="preserve"> </w:t>
      </w:r>
      <w:r w:rsidRPr="00701F93">
        <w:rPr>
          <w:b/>
          <w:sz w:val="16"/>
          <w:szCs w:val="16"/>
          <w:lang w:val="en-ZA"/>
        </w:rPr>
        <w:t>2011 (2) SA 372 (KZD)</w:t>
      </w:r>
    </w:p>
  </w:footnote>
  <w:footnote w:id="5">
    <w:p w:rsidR="008A42AE" w:rsidRDefault="008A42AE" w:rsidP="005D7E49">
      <w:pPr>
        <w:pStyle w:val="FootnoteText"/>
      </w:pPr>
      <w:r w:rsidRPr="00701F93">
        <w:rPr>
          <w:rStyle w:val="FootnoteReference"/>
          <w:sz w:val="16"/>
          <w:szCs w:val="16"/>
        </w:rPr>
        <w:footnoteRef/>
      </w:r>
      <w:r w:rsidRPr="00701F93">
        <w:rPr>
          <w:sz w:val="16"/>
          <w:szCs w:val="16"/>
        </w:rPr>
        <w:t xml:space="preserve"> </w:t>
      </w:r>
      <w:r w:rsidRPr="00701F93">
        <w:rPr>
          <w:i/>
          <w:sz w:val="16"/>
          <w:szCs w:val="16"/>
          <w:lang w:val="en-ZA"/>
        </w:rPr>
        <w:t>Collett v Firstrand Bank Ltd</w:t>
      </w:r>
      <w:r w:rsidRPr="00701F93">
        <w:rPr>
          <w:sz w:val="16"/>
          <w:szCs w:val="16"/>
          <w:lang w:val="en-ZA"/>
        </w:rPr>
        <w:t xml:space="preserve"> </w:t>
      </w:r>
      <w:r w:rsidRPr="00701F93">
        <w:rPr>
          <w:b/>
          <w:sz w:val="16"/>
          <w:szCs w:val="16"/>
          <w:lang w:val="en-ZA"/>
        </w:rPr>
        <w:t>2011 (4) SA 508 (SCA)</w:t>
      </w:r>
    </w:p>
  </w:footnote>
  <w:footnote w:id="6">
    <w:p w:rsidR="008A42AE" w:rsidRDefault="008A42AE" w:rsidP="005D7E49">
      <w:pPr>
        <w:pStyle w:val="FootnoteText"/>
      </w:pPr>
      <w:r w:rsidRPr="00701F93">
        <w:rPr>
          <w:rStyle w:val="FootnoteReference"/>
          <w:sz w:val="16"/>
          <w:szCs w:val="16"/>
        </w:rPr>
        <w:footnoteRef/>
      </w:r>
      <w:r w:rsidRPr="00701F93">
        <w:rPr>
          <w:sz w:val="16"/>
          <w:szCs w:val="16"/>
        </w:rPr>
        <w:t xml:space="preserve"> </w:t>
      </w:r>
      <w:r w:rsidRPr="00701F93">
        <w:rPr>
          <w:b/>
          <w:i/>
          <w:sz w:val="16"/>
          <w:szCs w:val="16"/>
        </w:rPr>
        <w:t>N</w:t>
      </w:r>
      <w:r w:rsidRPr="00701F93">
        <w:rPr>
          <w:i/>
          <w:sz w:val="16"/>
          <w:szCs w:val="16"/>
        </w:rPr>
        <w:t xml:space="preserve">ational Credit Regulator v Nedbank Ltd </w:t>
      </w:r>
      <w:r w:rsidRPr="00701F93">
        <w:rPr>
          <w:b/>
          <w:sz w:val="16"/>
          <w:szCs w:val="16"/>
        </w:rPr>
        <w:t>2009 (6) SA 295 (GNP)</w:t>
      </w:r>
    </w:p>
  </w:footnote>
  <w:footnote w:id="7">
    <w:p w:rsidR="008A42AE" w:rsidRDefault="008A42AE">
      <w:pPr>
        <w:pStyle w:val="FootnoteText"/>
      </w:pPr>
      <w:r w:rsidRPr="00A7637B">
        <w:rPr>
          <w:rStyle w:val="FootnoteReference"/>
          <w:sz w:val="16"/>
          <w:szCs w:val="16"/>
        </w:rPr>
        <w:footnoteRef/>
      </w:r>
      <w:r w:rsidRPr="00A7637B">
        <w:rPr>
          <w:sz w:val="16"/>
          <w:szCs w:val="16"/>
        </w:rPr>
        <w:t xml:space="preserve"> </w:t>
      </w:r>
      <w:r w:rsidRPr="00A7637B">
        <w:rPr>
          <w:sz w:val="16"/>
          <w:szCs w:val="16"/>
          <w:lang w:val="en-ZA"/>
        </w:rPr>
        <w:t>Section 71. NCA.</w:t>
      </w:r>
    </w:p>
  </w:footnote>
  <w:footnote w:id="8">
    <w:p w:rsidR="008A42AE" w:rsidRDefault="008A42AE" w:rsidP="0038225F">
      <w:pPr>
        <w:pStyle w:val="Default"/>
      </w:pPr>
      <w:r w:rsidRPr="00A7637B">
        <w:rPr>
          <w:rStyle w:val="FootnoteReference"/>
          <w:rFonts w:ascii="Times New Roman" w:hAnsi="Times New Roman"/>
          <w:sz w:val="16"/>
          <w:szCs w:val="16"/>
        </w:rPr>
        <w:footnoteRef/>
      </w:r>
      <w:r w:rsidRPr="00A7637B">
        <w:rPr>
          <w:rFonts w:ascii="Times New Roman" w:hAnsi="Times New Roman" w:cs="Times New Roman"/>
          <w:sz w:val="16"/>
          <w:szCs w:val="16"/>
        </w:rPr>
        <w:t xml:space="preserve"> Section 2(1) NCA.  </w:t>
      </w:r>
    </w:p>
  </w:footnote>
  <w:footnote w:id="9">
    <w:p w:rsidR="008A42AE" w:rsidRDefault="008A42AE" w:rsidP="0038225F">
      <w:pPr>
        <w:pStyle w:val="Default"/>
      </w:pPr>
      <w:r w:rsidRPr="00A7637B">
        <w:rPr>
          <w:rStyle w:val="FootnoteReference"/>
          <w:rFonts w:cs="Calibri"/>
          <w:sz w:val="16"/>
          <w:szCs w:val="16"/>
        </w:rPr>
        <w:footnoteRef/>
      </w:r>
      <w:r w:rsidRPr="00A7637B">
        <w:rPr>
          <w:sz w:val="16"/>
          <w:szCs w:val="16"/>
        </w:rPr>
        <w:t xml:space="preserve"> Botha (2005) 106.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A23799"/>
    <w:multiLevelType w:val="hybridMultilevel"/>
    <w:tmpl w:val="4DF65ED6"/>
    <w:lvl w:ilvl="0" w:tplc="1C09001B">
      <w:start w:val="1"/>
      <w:numFmt w:val="lowerRoman"/>
      <w:lvlText w:val="%1."/>
      <w:lvlJc w:val="righ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1">
    <w:nsid w:val="124D3E78"/>
    <w:multiLevelType w:val="hybridMultilevel"/>
    <w:tmpl w:val="FFC6E3D6"/>
    <w:lvl w:ilvl="0" w:tplc="1C09001B">
      <w:start w:val="1"/>
      <w:numFmt w:val="lowerRoman"/>
      <w:lvlText w:val="%1."/>
      <w:lvlJc w:val="righ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2">
    <w:nsid w:val="175010AA"/>
    <w:multiLevelType w:val="hybridMultilevel"/>
    <w:tmpl w:val="06124CA8"/>
    <w:lvl w:ilvl="0" w:tplc="1C09001B">
      <w:start w:val="1"/>
      <w:numFmt w:val="lowerRoman"/>
      <w:lvlText w:val="%1."/>
      <w:lvlJc w:val="right"/>
      <w:pPr>
        <w:ind w:left="1080" w:hanging="360"/>
      </w:pPr>
      <w:rPr>
        <w:rFonts w:cs="Times New Roman"/>
      </w:rPr>
    </w:lvl>
    <w:lvl w:ilvl="1" w:tplc="1C090019">
      <w:start w:val="1"/>
      <w:numFmt w:val="lowerLetter"/>
      <w:lvlText w:val="%2."/>
      <w:lvlJc w:val="left"/>
      <w:pPr>
        <w:ind w:left="1800" w:hanging="360"/>
      </w:pPr>
      <w:rPr>
        <w:rFonts w:cs="Times New Roman"/>
      </w:rPr>
    </w:lvl>
    <w:lvl w:ilvl="2" w:tplc="1C09001B">
      <w:start w:val="1"/>
      <w:numFmt w:val="lowerRoman"/>
      <w:lvlText w:val="%3."/>
      <w:lvlJc w:val="right"/>
      <w:pPr>
        <w:ind w:left="2306"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3">
    <w:nsid w:val="1CE66491"/>
    <w:multiLevelType w:val="hybridMultilevel"/>
    <w:tmpl w:val="E168D2A4"/>
    <w:lvl w:ilvl="0" w:tplc="B5061CBC">
      <w:start w:val="1"/>
      <w:numFmt w:val="lowerRoman"/>
      <w:lvlText w:val="(%1)"/>
      <w:lvlJc w:val="left"/>
      <w:pPr>
        <w:ind w:left="2928" w:hanging="720"/>
      </w:pPr>
      <w:rPr>
        <w:rFonts w:cs="Times New Roman" w:hint="default"/>
      </w:rPr>
    </w:lvl>
    <w:lvl w:ilvl="1" w:tplc="1C090019" w:tentative="1">
      <w:start w:val="1"/>
      <w:numFmt w:val="lowerLetter"/>
      <w:lvlText w:val="%2."/>
      <w:lvlJc w:val="left"/>
      <w:pPr>
        <w:ind w:left="3288" w:hanging="360"/>
      </w:pPr>
      <w:rPr>
        <w:rFonts w:cs="Times New Roman"/>
      </w:rPr>
    </w:lvl>
    <w:lvl w:ilvl="2" w:tplc="1C09001B" w:tentative="1">
      <w:start w:val="1"/>
      <w:numFmt w:val="lowerRoman"/>
      <w:lvlText w:val="%3."/>
      <w:lvlJc w:val="right"/>
      <w:pPr>
        <w:ind w:left="4008" w:hanging="180"/>
      </w:pPr>
      <w:rPr>
        <w:rFonts w:cs="Times New Roman"/>
      </w:rPr>
    </w:lvl>
    <w:lvl w:ilvl="3" w:tplc="1C09000F" w:tentative="1">
      <w:start w:val="1"/>
      <w:numFmt w:val="decimal"/>
      <w:lvlText w:val="%4."/>
      <w:lvlJc w:val="left"/>
      <w:pPr>
        <w:ind w:left="4728" w:hanging="360"/>
      </w:pPr>
      <w:rPr>
        <w:rFonts w:cs="Times New Roman"/>
      </w:rPr>
    </w:lvl>
    <w:lvl w:ilvl="4" w:tplc="1C090019" w:tentative="1">
      <w:start w:val="1"/>
      <w:numFmt w:val="lowerLetter"/>
      <w:lvlText w:val="%5."/>
      <w:lvlJc w:val="left"/>
      <w:pPr>
        <w:ind w:left="5448" w:hanging="360"/>
      </w:pPr>
      <w:rPr>
        <w:rFonts w:cs="Times New Roman"/>
      </w:rPr>
    </w:lvl>
    <w:lvl w:ilvl="5" w:tplc="1C09001B" w:tentative="1">
      <w:start w:val="1"/>
      <w:numFmt w:val="lowerRoman"/>
      <w:lvlText w:val="%6."/>
      <w:lvlJc w:val="right"/>
      <w:pPr>
        <w:ind w:left="6168" w:hanging="180"/>
      </w:pPr>
      <w:rPr>
        <w:rFonts w:cs="Times New Roman"/>
      </w:rPr>
    </w:lvl>
    <w:lvl w:ilvl="6" w:tplc="1C09000F" w:tentative="1">
      <w:start w:val="1"/>
      <w:numFmt w:val="decimal"/>
      <w:lvlText w:val="%7."/>
      <w:lvlJc w:val="left"/>
      <w:pPr>
        <w:ind w:left="6888" w:hanging="360"/>
      </w:pPr>
      <w:rPr>
        <w:rFonts w:cs="Times New Roman"/>
      </w:rPr>
    </w:lvl>
    <w:lvl w:ilvl="7" w:tplc="1C090019" w:tentative="1">
      <w:start w:val="1"/>
      <w:numFmt w:val="lowerLetter"/>
      <w:lvlText w:val="%8."/>
      <w:lvlJc w:val="left"/>
      <w:pPr>
        <w:ind w:left="7608" w:hanging="360"/>
      </w:pPr>
      <w:rPr>
        <w:rFonts w:cs="Times New Roman"/>
      </w:rPr>
    </w:lvl>
    <w:lvl w:ilvl="8" w:tplc="1C09001B" w:tentative="1">
      <w:start w:val="1"/>
      <w:numFmt w:val="lowerRoman"/>
      <w:lvlText w:val="%9."/>
      <w:lvlJc w:val="right"/>
      <w:pPr>
        <w:ind w:left="8328" w:hanging="180"/>
      </w:pPr>
      <w:rPr>
        <w:rFonts w:cs="Times New Roman"/>
      </w:rPr>
    </w:lvl>
  </w:abstractNum>
  <w:abstractNum w:abstractNumId="4">
    <w:nsid w:val="253B7ACC"/>
    <w:multiLevelType w:val="hybridMultilevel"/>
    <w:tmpl w:val="906AAC36"/>
    <w:lvl w:ilvl="0" w:tplc="1C090019">
      <w:start w:val="1"/>
      <w:numFmt w:val="lowerLetter"/>
      <w:lvlText w:val="%1."/>
      <w:lvlJc w:val="left"/>
      <w:pPr>
        <w:ind w:left="1440" w:hanging="360"/>
      </w:pPr>
      <w:rPr>
        <w:rFonts w:cs="Times New Roman"/>
      </w:rPr>
    </w:lvl>
    <w:lvl w:ilvl="1" w:tplc="1C090019" w:tentative="1">
      <w:start w:val="1"/>
      <w:numFmt w:val="lowerLetter"/>
      <w:lvlText w:val="%2."/>
      <w:lvlJc w:val="left"/>
      <w:pPr>
        <w:ind w:left="2160" w:hanging="360"/>
      </w:pPr>
      <w:rPr>
        <w:rFonts w:cs="Times New Roman"/>
      </w:rPr>
    </w:lvl>
    <w:lvl w:ilvl="2" w:tplc="1C09001B" w:tentative="1">
      <w:start w:val="1"/>
      <w:numFmt w:val="lowerRoman"/>
      <w:lvlText w:val="%3."/>
      <w:lvlJc w:val="right"/>
      <w:pPr>
        <w:ind w:left="2880" w:hanging="180"/>
      </w:pPr>
      <w:rPr>
        <w:rFonts w:cs="Times New Roman"/>
      </w:rPr>
    </w:lvl>
    <w:lvl w:ilvl="3" w:tplc="1C09000F" w:tentative="1">
      <w:start w:val="1"/>
      <w:numFmt w:val="decimal"/>
      <w:lvlText w:val="%4."/>
      <w:lvlJc w:val="left"/>
      <w:pPr>
        <w:ind w:left="3600" w:hanging="360"/>
      </w:pPr>
      <w:rPr>
        <w:rFonts w:cs="Times New Roman"/>
      </w:rPr>
    </w:lvl>
    <w:lvl w:ilvl="4" w:tplc="1C090019" w:tentative="1">
      <w:start w:val="1"/>
      <w:numFmt w:val="lowerLetter"/>
      <w:lvlText w:val="%5."/>
      <w:lvlJc w:val="left"/>
      <w:pPr>
        <w:ind w:left="4320" w:hanging="360"/>
      </w:pPr>
      <w:rPr>
        <w:rFonts w:cs="Times New Roman"/>
      </w:rPr>
    </w:lvl>
    <w:lvl w:ilvl="5" w:tplc="1C09001B" w:tentative="1">
      <w:start w:val="1"/>
      <w:numFmt w:val="lowerRoman"/>
      <w:lvlText w:val="%6."/>
      <w:lvlJc w:val="right"/>
      <w:pPr>
        <w:ind w:left="5040" w:hanging="180"/>
      </w:pPr>
      <w:rPr>
        <w:rFonts w:cs="Times New Roman"/>
      </w:rPr>
    </w:lvl>
    <w:lvl w:ilvl="6" w:tplc="1C09000F" w:tentative="1">
      <w:start w:val="1"/>
      <w:numFmt w:val="decimal"/>
      <w:lvlText w:val="%7."/>
      <w:lvlJc w:val="left"/>
      <w:pPr>
        <w:ind w:left="5760" w:hanging="360"/>
      </w:pPr>
      <w:rPr>
        <w:rFonts w:cs="Times New Roman"/>
      </w:rPr>
    </w:lvl>
    <w:lvl w:ilvl="7" w:tplc="1C090019" w:tentative="1">
      <w:start w:val="1"/>
      <w:numFmt w:val="lowerLetter"/>
      <w:lvlText w:val="%8."/>
      <w:lvlJc w:val="left"/>
      <w:pPr>
        <w:ind w:left="6480" w:hanging="360"/>
      </w:pPr>
      <w:rPr>
        <w:rFonts w:cs="Times New Roman"/>
      </w:rPr>
    </w:lvl>
    <w:lvl w:ilvl="8" w:tplc="1C09001B" w:tentative="1">
      <w:start w:val="1"/>
      <w:numFmt w:val="lowerRoman"/>
      <w:lvlText w:val="%9."/>
      <w:lvlJc w:val="right"/>
      <w:pPr>
        <w:ind w:left="7200" w:hanging="180"/>
      </w:pPr>
      <w:rPr>
        <w:rFonts w:cs="Times New Roman"/>
      </w:rPr>
    </w:lvl>
  </w:abstractNum>
  <w:abstractNum w:abstractNumId="5">
    <w:nsid w:val="2CCC4931"/>
    <w:multiLevelType w:val="hybridMultilevel"/>
    <w:tmpl w:val="24460FEA"/>
    <w:lvl w:ilvl="0" w:tplc="1C090017">
      <w:start w:val="1"/>
      <w:numFmt w:val="lowerLetter"/>
      <w:lvlText w:val="%1)"/>
      <w:lvlJc w:val="left"/>
      <w:pPr>
        <w:ind w:left="2073" w:hanging="360"/>
      </w:pPr>
      <w:rPr>
        <w:rFonts w:cs="Times New Roman"/>
      </w:rPr>
    </w:lvl>
    <w:lvl w:ilvl="1" w:tplc="1C090019" w:tentative="1">
      <w:start w:val="1"/>
      <w:numFmt w:val="lowerLetter"/>
      <w:lvlText w:val="%2."/>
      <w:lvlJc w:val="left"/>
      <w:pPr>
        <w:ind w:left="2793" w:hanging="360"/>
      </w:pPr>
      <w:rPr>
        <w:rFonts w:cs="Times New Roman"/>
      </w:rPr>
    </w:lvl>
    <w:lvl w:ilvl="2" w:tplc="1C09001B" w:tentative="1">
      <w:start w:val="1"/>
      <w:numFmt w:val="lowerRoman"/>
      <w:lvlText w:val="%3."/>
      <w:lvlJc w:val="right"/>
      <w:pPr>
        <w:ind w:left="3513" w:hanging="180"/>
      </w:pPr>
      <w:rPr>
        <w:rFonts w:cs="Times New Roman"/>
      </w:rPr>
    </w:lvl>
    <w:lvl w:ilvl="3" w:tplc="1C09000F" w:tentative="1">
      <w:start w:val="1"/>
      <w:numFmt w:val="decimal"/>
      <w:lvlText w:val="%4."/>
      <w:lvlJc w:val="left"/>
      <w:pPr>
        <w:ind w:left="4233" w:hanging="360"/>
      </w:pPr>
      <w:rPr>
        <w:rFonts w:cs="Times New Roman"/>
      </w:rPr>
    </w:lvl>
    <w:lvl w:ilvl="4" w:tplc="1C090019" w:tentative="1">
      <w:start w:val="1"/>
      <w:numFmt w:val="lowerLetter"/>
      <w:lvlText w:val="%5."/>
      <w:lvlJc w:val="left"/>
      <w:pPr>
        <w:ind w:left="4953" w:hanging="360"/>
      </w:pPr>
      <w:rPr>
        <w:rFonts w:cs="Times New Roman"/>
      </w:rPr>
    </w:lvl>
    <w:lvl w:ilvl="5" w:tplc="1C09001B" w:tentative="1">
      <w:start w:val="1"/>
      <w:numFmt w:val="lowerRoman"/>
      <w:lvlText w:val="%6."/>
      <w:lvlJc w:val="right"/>
      <w:pPr>
        <w:ind w:left="5673" w:hanging="180"/>
      </w:pPr>
      <w:rPr>
        <w:rFonts w:cs="Times New Roman"/>
      </w:rPr>
    </w:lvl>
    <w:lvl w:ilvl="6" w:tplc="1C09000F" w:tentative="1">
      <w:start w:val="1"/>
      <w:numFmt w:val="decimal"/>
      <w:lvlText w:val="%7."/>
      <w:lvlJc w:val="left"/>
      <w:pPr>
        <w:ind w:left="6393" w:hanging="360"/>
      </w:pPr>
      <w:rPr>
        <w:rFonts w:cs="Times New Roman"/>
      </w:rPr>
    </w:lvl>
    <w:lvl w:ilvl="7" w:tplc="1C090019" w:tentative="1">
      <w:start w:val="1"/>
      <w:numFmt w:val="lowerLetter"/>
      <w:lvlText w:val="%8."/>
      <w:lvlJc w:val="left"/>
      <w:pPr>
        <w:ind w:left="7113" w:hanging="360"/>
      </w:pPr>
      <w:rPr>
        <w:rFonts w:cs="Times New Roman"/>
      </w:rPr>
    </w:lvl>
    <w:lvl w:ilvl="8" w:tplc="1C09001B" w:tentative="1">
      <w:start w:val="1"/>
      <w:numFmt w:val="lowerRoman"/>
      <w:lvlText w:val="%9."/>
      <w:lvlJc w:val="right"/>
      <w:pPr>
        <w:ind w:left="7833" w:hanging="180"/>
      </w:pPr>
      <w:rPr>
        <w:rFonts w:cs="Times New Roman"/>
      </w:rPr>
    </w:lvl>
  </w:abstractNum>
  <w:abstractNum w:abstractNumId="6">
    <w:nsid w:val="3DFA500D"/>
    <w:multiLevelType w:val="hybridMultilevel"/>
    <w:tmpl w:val="A57AEC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nsid w:val="44604EB8"/>
    <w:multiLevelType w:val="hybridMultilevel"/>
    <w:tmpl w:val="77A6B3FC"/>
    <w:lvl w:ilvl="0" w:tplc="1C090019">
      <w:start w:val="1"/>
      <w:numFmt w:val="lowerLetter"/>
      <w:lvlText w:val="%1."/>
      <w:lvlJc w:val="left"/>
      <w:pPr>
        <w:ind w:left="1440" w:hanging="360"/>
      </w:pPr>
      <w:rPr>
        <w:rFonts w:cs="Times New Roman"/>
      </w:rPr>
    </w:lvl>
    <w:lvl w:ilvl="1" w:tplc="1C090019" w:tentative="1">
      <w:start w:val="1"/>
      <w:numFmt w:val="lowerLetter"/>
      <w:lvlText w:val="%2."/>
      <w:lvlJc w:val="left"/>
      <w:pPr>
        <w:ind w:left="2160" w:hanging="360"/>
      </w:pPr>
      <w:rPr>
        <w:rFonts w:cs="Times New Roman"/>
      </w:rPr>
    </w:lvl>
    <w:lvl w:ilvl="2" w:tplc="1C09001B" w:tentative="1">
      <w:start w:val="1"/>
      <w:numFmt w:val="lowerRoman"/>
      <w:lvlText w:val="%3."/>
      <w:lvlJc w:val="right"/>
      <w:pPr>
        <w:ind w:left="2880" w:hanging="180"/>
      </w:pPr>
      <w:rPr>
        <w:rFonts w:cs="Times New Roman"/>
      </w:rPr>
    </w:lvl>
    <w:lvl w:ilvl="3" w:tplc="1C09000F" w:tentative="1">
      <w:start w:val="1"/>
      <w:numFmt w:val="decimal"/>
      <w:lvlText w:val="%4."/>
      <w:lvlJc w:val="left"/>
      <w:pPr>
        <w:ind w:left="3600" w:hanging="360"/>
      </w:pPr>
      <w:rPr>
        <w:rFonts w:cs="Times New Roman"/>
      </w:rPr>
    </w:lvl>
    <w:lvl w:ilvl="4" w:tplc="1C090019" w:tentative="1">
      <w:start w:val="1"/>
      <w:numFmt w:val="lowerLetter"/>
      <w:lvlText w:val="%5."/>
      <w:lvlJc w:val="left"/>
      <w:pPr>
        <w:ind w:left="4320" w:hanging="360"/>
      </w:pPr>
      <w:rPr>
        <w:rFonts w:cs="Times New Roman"/>
      </w:rPr>
    </w:lvl>
    <w:lvl w:ilvl="5" w:tplc="1C09001B" w:tentative="1">
      <w:start w:val="1"/>
      <w:numFmt w:val="lowerRoman"/>
      <w:lvlText w:val="%6."/>
      <w:lvlJc w:val="right"/>
      <w:pPr>
        <w:ind w:left="5040" w:hanging="180"/>
      </w:pPr>
      <w:rPr>
        <w:rFonts w:cs="Times New Roman"/>
      </w:rPr>
    </w:lvl>
    <w:lvl w:ilvl="6" w:tplc="1C09000F" w:tentative="1">
      <w:start w:val="1"/>
      <w:numFmt w:val="decimal"/>
      <w:lvlText w:val="%7."/>
      <w:lvlJc w:val="left"/>
      <w:pPr>
        <w:ind w:left="5760" w:hanging="360"/>
      </w:pPr>
      <w:rPr>
        <w:rFonts w:cs="Times New Roman"/>
      </w:rPr>
    </w:lvl>
    <w:lvl w:ilvl="7" w:tplc="1C090019" w:tentative="1">
      <w:start w:val="1"/>
      <w:numFmt w:val="lowerLetter"/>
      <w:lvlText w:val="%8."/>
      <w:lvlJc w:val="left"/>
      <w:pPr>
        <w:ind w:left="6480" w:hanging="360"/>
      </w:pPr>
      <w:rPr>
        <w:rFonts w:cs="Times New Roman"/>
      </w:rPr>
    </w:lvl>
    <w:lvl w:ilvl="8" w:tplc="1C09001B" w:tentative="1">
      <w:start w:val="1"/>
      <w:numFmt w:val="lowerRoman"/>
      <w:lvlText w:val="%9."/>
      <w:lvlJc w:val="right"/>
      <w:pPr>
        <w:ind w:left="7200" w:hanging="180"/>
      </w:pPr>
      <w:rPr>
        <w:rFonts w:cs="Times New Roman"/>
      </w:rPr>
    </w:lvl>
  </w:abstractNum>
  <w:abstractNum w:abstractNumId="8">
    <w:nsid w:val="49800002"/>
    <w:multiLevelType w:val="hybridMultilevel"/>
    <w:tmpl w:val="EDF8D91E"/>
    <w:lvl w:ilvl="0" w:tplc="1C09000F">
      <w:start w:val="1"/>
      <w:numFmt w:val="decimal"/>
      <w:lvlText w:val="%1."/>
      <w:lvlJc w:val="left"/>
      <w:pPr>
        <w:ind w:left="360" w:hanging="360"/>
      </w:pPr>
      <w:rPr>
        <w:rFonts w:cs="Times New Roman"/>
      </w:rPr>
    </w:lvl>
    <w:lvl w:ilvl="1" w:tplc="1C09001B">
      <w:start w:val="1"/>
      <w:numFmt w:val="lowerRoman"/>
      <w:lvlText w:val="%2."/>
      <w:lvlJc w:val="right"/>
      <w:pPr>
        <w:ind w:left="1080" w:hanging="360"/>
      </w:pPr>
      <w:rPr>
        <w:rFonts w:cs="Times New Roman"/>
      </w:rPr>
    </w:lvl>
    <w:lvl w:ilvl="2" w:tplc="1C09001B">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9">
    <w:nsid w:val="4D201A13"/>
    <w:multiLevelType w:val="hybridMultilevel"/>
    <w:tmpl w:val="FA02D6EA"/>
    <w:lvl w:ilvl="0" w:tplc="1C09001B">
      <w:start w:val="1"/>
      <w:numFmt w:val="lowerRoman"/>
      <w:lvlText w:val="%1."/>
      <w:lvlJc w:val="righ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10">
    <w:nsid w:val="4E097BCB"/>
    <w:multiLevelType w:val="hybridMultilevel"/>
    <w:tmpl w:val="4D5879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nsid w:val="51B01CA7"/>
    <w:multiLevelType w:val="hybridMultilevel"/>
    <w:tmpl w:val="C5EC62A8"/>
    <w:lvl w:ilvl="0" w:tplc="1C090001">
      <w:start w:val="1"/>
      <w:numFmt w:val="bullet"/>
      <w:lvlText w:val=""/>
      <w:lvlJc w:val="left"/>
      <w:pPr>
        <w:ind w:left="720" w:hanging="360"/>
      </w:pPr>
      <w:rPr>
        <w:rFonts w:ascii="Symbol" w:hAnsi="Symbol"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2">
    <w:nsid w:val="5BE77DF2"/>
    <w:multiLevelType w:val="hybridMultilevel"/>
    <w:tmpl w:val="1F346766"/>
    <w:lvl w:ilvl="0" w:tplc="1C09000F">
      <w:start w:val="1"/>
      <w:numFmt w:val="decimal"/>
      <w:lvlText w:val="%1."/>
      <w:lvlJc w:val="left"/>
      <w:pPr>
        <w:ind w:left="360" w:hanging="360"/>
      </w:pPr>
      <w:rPr>
        <w:rFonts w:cs="Times New Roman"/>
      </w:rPr>
    </w:lvl>
    <w:lvl w:ilvl="1" w:tplc="1C090019">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13">
    <w:nsid w:val="5EE139F1"/>
    <w:multiLevelType w:val="hybridMultilevel"/>
    <w:tmpl w:val="5E78ABBC"/>
    <w:lvl w:ilvl="0" w:tplc="72D03666">
      <w:start w:val="1"/>
      <w:numFmt w:val="lowerLetter"/>
      <w:lvlText w:val="(%1)"/>
      <w:lvlJc w:val="left"/>
      <w:pPr>
        <w:ind w:left="1713" w:hanging="360"/>
      </w:pPr>
      <w:rPr>
        <w:rFonts w:cs="Times New Roman" w:hint="default"/>
      </w:rPr>
    </w:lvl>
    <w:lvl w:ilvl="1" w:tplc="1C090019" w:tentative="1">
      <w:start w:val="1"/>
      <w:numFmt w:val="lowerLetter"/>
      <w:lvlText w:val="%2."/>
      <w:lvlJc w:val="left"/>
      <w:pPr>
        <w:ind w:left="2433" w:hanging="360"/>
      </w:pPr>
      <w:rPr>
        <w:rFonts w:cs="Times New Roman"/>
      </w:rPr>
    </w:lvl>
    <w:lvl w:ilvl="2" w:tplc="1C09001B" w:tentative="1">
      <w:start w:val="1"/>
      <w:numFmt w:val="lowerRoman"/>
      <w:lvlText w:val="%3."/>
      <w:lvlJc w:val="right"/>
      <w:pPr>
        <w:ind w:left="3153" w:hanging="180"/>
      </w:pPr>
      <w:rPr>
        <w:rFonts w:cs="Times New Roman"/>
      </w:rPr>
    </w:lvl>
    <w:lvl w:ilvl="3" w:tplc="1C09000F" w:tentative="1">
      <w:start w:val="1"/>
      <w:numFmt w:val="decimal"/>
      <w:lvlText w:val="%4."/>
      <w:lvlJc w:val="left"/>
      <w:pPr>
        <w:ind w:left="3873" w:hanging="360"/>
      </w:pPr>
      <w:rPr>
        <w:rFonts w:cs="Times New Roman"/>
      </w:rPr>
    </w:lvl>
    <w:lvl w:ilvl="4" w:tplc="1C090019" w:tentative="1">
      <w:start w:val="1"/>
      <w:numFmt w:val="lowerLetter"/>
      <w:lvlText w:val="%5."/>
      <w:lvlJc w:val="left"/>
      <w:pPr>
        <w:ind w:left="4593" w:hanging="360"/>
      </w:pPr>
      <w:rPr>
        <w:rFonts w:cs="Times New Roman"/>
      </w:rPr>
    </w:lvl>
    <w:lvl w:ilvl="5" w:tplc="1C09001B" w:tentative="1">
      <w:start w:val="1"/>
      <w:numFmt w:val="lowerRoman"/>
      <w:lvlText w:val="%6."/>
      <w:lvlJc w:val="right"/>
      <w:pPr>
        <w:ind w:left="5313" w:hanging="180"/>
      </w:pPr>
      <w:rPr>
        <w:rFonts w:cs="Times New Roman"/>
      </w:rPr>
    </w:lvl>
    <w:lvl w:ilvl="6" w:tplc="1C09000F" w:tentative="1">
      <w:start w:val="1"/>
      <w:numFmt w:val="decimal"/>
      <w:lvlText w:val="%7."/>
      <w:lvlJc w:val="left"/>
      <w:pPr>
        <w:ind w:left="6033" w:hanging="360"/>
      </w:pPr>
      <w:rPr>
        <w:rFonts w:cs="Times New Roman"/>
      </w:rPr>
    </w:lvl>
    <w:lvl w:ilvl="7" w:tplc="1C090019" w:tentative="1">
      <w:start w:val="1"/>
      <w:numFmt w:val="lowerLetter"/>
      <w:lvlText w:val="%8."/>
      <w:lvlJc w:val="left"/>
      <w:pPr>
        <w:ind w:left="6753" w:hanging="360"/>
      </w:pPr>
      <w:rPr>
        <w:rFonts w:cs="Times New Roman"/>
      </w:rPr>
    </w:lvl>
    <w:lvl w:ilvl="8" w:tplc="1C09001B" w:tentative="1">
      <w:start w:val="1"/>
      <w:numFmt w:val="lowerRoman"/>
      <w:lvlText w:val="%9."/>
      <w:lvlJc w:val="right"/>
      <w:pPr>
        <w:ind w:left="7473" w:hanging="180"/>
      </w:pPr>
      <w:rPr>
        <w:rFonts w:cs="Times New Roman"/>
      </w:rPr>
    </w:lvl>
  </w:abstractNum>
  <w:abstractNum w:abstractNumId="14">
    <w:nsid w:val="6B5A3129"/>
    <w:multiLevelType w:val="hybridMultilevel"/>
    <w:tmpl w:val="7FEE494C"/>
    <w:lvl w:ilvl="0" w:tplc="1C09000F">
      <w:start w:val="1"/>
      <w:numFmt w:val="decimal"/>
      <w:lvlText w:val="%1."/>
      <w:lvlJc w:val="left"/>
      <w:pPr>
        <w:ind w:left="360" w:hanging="360"/>
      </w:pPr>
      <w:rPr>
        <w:rFonts w:cs="Times New Roman"/>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15">
    <w:nsid w:val="7C117BC2"/>
    <w:multiLevelType w:val="hybridMultilevel"/>
    <w:tmpl w:val="18C6B15C"/>
    <w:lvl w:ilvl="0" w:tplc="1C09001B">
      <w:start w:val="1"/>
      <w:numFmt w:val="lowerRoman"/>
      <w:lvlText w:val="%1."/>
      <w:lvlJc w:val="right"/>
      <w:pPr>
        <w:ind w:left="2208" w:hanging="360"/>
      </w:pPr>
      <w:rPr>
        <w:rFonts w:cs="Times New Roman"/>
      </w:rPr>
    </w:lvl>
    <w:lvl w:ilvl="1" w:tplc="1C090019" w:tentative="1">
      <w:start w:val="1"/>
      <w:numFmt w:val="lowerLetter"/>
      <w:lvlText w:val="%2."/>
      <w:lvlJc w:val="left"/>
      <w:pPr>
        <w:ind w:left="2928" w:hanging="360"/>
      </w:pPr>
      <w:rPr>
        <w:rFonts w:cs="Times New Roman"/>
      </w:rPr>
    </w:lvl>
    <w:lvl w:ilvl="2" w:tplc="1C09001B" w:tentative="1">
      <w:start w:val="1"/>
      <w:numFmt w:val="lowerRoman"/>
      <w:lvlText w:val="%3."/>
      <w:lvlJc w:val="right"/>
      <w:pPr>
        <w:ind w:left="3648" w:hanging="180"/>
      </w:pPr>
      <w:rPr>
        <w:rFonts w:cs="Times New Roman"/>
      </w:rPr>
    </w:lvl>
    <w:lvl w:ilvl="3" w:tplc="1C09000F" w:tentative="1">
      <w:start w:val="1"/>
      <w:numFmt w:val="decimal"/>
      <w:lvlText w:val="%4."/>
      <w:lvlJc w:val="left"/>
      <w:pPr>
        <w:ind w:left="4368" w:hanging="360"/>
      </w:pPr>
      <w:rPr>
        <w:rFonts w:cs="Times New Roman"/>
      </w:rPr>
    </w:lvl>
    <w:lvl w:ilvl="4" w:tplc="1C090019" w:tentative="1">
      <w:start w:val="1"/>
      <w:numFmt w:val="lowerLetter"/>
      <w:lvlText w:val="%5."/>
      <w:lvlJc w:val="left"/>
      <w:pPr>
        <w:ind w:left="5088" w:hanging="360"/>
      </w:pPr>
      <w:rPr>
        <w:rFonts w:cs="Times New Roman"/>
      </w:rPr>
    </w:lvl>
    <w:lvl w:ilvl="5" w:tplc="1C09001B" w:tentative="1">
      <w:start w:val="1"/>
      <w:numFmt w:val="lowerRoman"/>
      <w:lvlText w:val="%6."/>
      <w:lvlJc w:val="right"/>
      <w:pPr>
        <w:ind w:left="5808" w:hanging="180"/>
      </w:pPr>
      <w:rPr>
        <w:rFonts w:cs="Times New Roman"/>
      </w:rPr>
    </w:lvl>
    <w:lvl w:ilvl="6" w:tplc="1C09000F" w:tentative="1">
      <w:start w:val="1"/>
      <w:numFmt w:val="decimal"/>
      <w:lvlText w:val="%7."/>
      <w:lvlJc w:val="left"/>
      <w:pPr>
        <w:ind w:left="6528" w:hanging="360"/>
      </w:pPr>
      <w:rPr>
        <w:rFonts w:cs="Times New Roman"/>
      </w:rPr>
    </w:lvl>
    <w:lvl w:ilvl="7" w:tplc="1C090019" w:tentative="1">
      <w:start w:val="1"/>
      <w:numFmt w:val="lowerLetter"/>
      <w:lvlText w:val="%8."/>
      <w:lvlJc w:val="left"/>
      <w:pPr>
        <w:ind w:left="7248" w:hanging="360"/>
      </w:pPr>
      <w:rPr>
        <w:rFonts w:cs="Times New Roman"/>
      </w:rPr>
    </w:lvl>
    <w:lvl w:ilvl="8" w:tplc="1C09001B" w:tentative="1">
      <w:start w:val="1"/>
      <w:numFmt w:val="lowerRoman"/>
      <w:lvlText w:val="%9."/>
      <w:lvlJc w:val="right"/>
      <w:pPr>
        <w:ind w:left="7968" w:hanging="180"/>
      </w:pPr>
      <w:rPr>
        <w:rFonts w:cs="Times New Roman"/>
      </w:rPr>
    </w:lvl>
  </w:abstractNum>
  <w:abstractNum w:abstractNumId="16">
    <w:nsid w:val="7CA76456"/>
    <w:multiLevelType w:val="hybridMultilevel"/>
    <w:tmpl w:val="C3840FE4"/>
    <w:lvl w:ilvl="0" w:tplc="1C09001B">
      <w:start w:val="1"/>
      <w:numFmt w:val="lowerRoman"/>
      <w:lvlText w:val="%1."/>
      <w:lvlJc w:val="righ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num w:numId="1">
    <w:abstractNumId w:val="8"/>
  </w:num>
  <w:num w:numId="2">
    <w:abstractNumId w:val="6"/>
  </w:num>
  <w:num w:numId="3">
    <w:abstractNumId w:val="14"/>
  </w:num>
  <w:num w:numId="4">
    <w:abstractNumId w:val="11"/>
  </w:num>
  <w:num w:numId="5">
    <w:abstractNumId w:val="2"/>
  </w:num>
  <w:num w:numId="6">
    <w:abstractNumId w:val="12"/>
  </w:num>
  <w:num w:numId="7">
    <w:abstractNumId w:val="1"/>
  </w:num>
  <w:num w:numId="8">
    <w:abstractNumId w:val="9"/>
  </w:num>
  <w:num w:numId="9">
    <w:abstractNumId w:val="16"/>
  </w:num>
  <w:num w:numId="10">
    <w:abstractNumId w:val="4"/>
  </w:num>
  <w:num w:numId="11">
    <w:abstractNumId w:val="0"/>
  </w:num>
  <w:num w:numId="12">
    <w:abstractNumId w:val="7"/>
  </w:num>
  <w:num w:numId="13">
    <w:abstractNumId w:val="10"/>
  </w:num>
  <w:num w:numId="14">
    <w:abstractNumId w:val="5"/>
  </w:num>
  <w:num w:numId="15">
    <w:abstractNumId w:val="13"/>
  </w:num>
  <w:num w:numId="16">
    <w:abstractNumId w:val="15"/>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F596C"/>
    <w:rsid w:val="0002400C"/>
    <w:rsid w:val="00030CAC"/>
    <w:rsid w:val="00045AB2"/>
    <w:rsid w:val="00061FED"/>
    <w:rsid w:val="000879EB"/>
    <w:rsid w:val="00091718"/>
    <w:rsid w:val="0009344B"/>
    <w:rsid w:val="000C6E81"/>
    <w:rsid w:val="00100551"/>
    <w:rsid w:val="00111C1D"/>
    <w:rsid w:val="0011767D"/>
    <w:rsid w:val="00171313"/>
    <w:rsid w:val="001C008D"/>
    <w:rsid w:val="001C6C0C"/>
    <w:rsid w:val="001D73BE"/>
    <w:rsid w:val="001E7866"/>
    <w:rsid w:val="00215E2E"/>
    <w:rsid w:val="00254F9B"/>
    <w:rsid w:val="002D2D70"/>
    <w:rsid w:val="0031683D"/>
    <w:rsid w:val="00344A77"/>
    <w:rsid w:val="00357C66"/>
    <w:rsid w:val="0036610D"/>
    <w:rsid w:val="003738BD"/>
    <w:rsid w:val="0038225F"/>
    <w:rsid w:val="0040268F"/>
    <w:rsid w:val="0040333B"/>
    <w:rsid w:val="004A5447"/>
    <w:rsid w:val="00525A3E"/>
    <w:rsid w:val="0058070C"/>
    <w:rsid w:val="005B7FDB"/>
    <w:rsid w:val="005D03F5"/>
    <w:rsid w:val="005D7E49"/>
    <w:rsid w:val="005F596C"/>
    <w:rsid w:val="00701F93"/>
    <w:rsid w:val="00793F39"/>
    <w:rsid w:val="00816500"/>
    <w:rsid w:val="008448E6"/>
    <w:rsid w:val="00856CDA"/>
    <w:rsid w:val="008A42AE"/>
    <w:rsid w:val="008F6A1D"/>
    <w:rsid w:val="00905BBC"/>
    <w:rsid w:val="00985FBB"/>
    <w:rsid w:val="009B7BF8"/>
    <w:rsid w:val="00A348BD"/>
    <w:rsid w:val="00A7637B"/>
    <w:rsid w:val="00AA15F4"/>
    <w:rsid w:val="00AB33ED"/>
    <w:rsid w:val="00B36895"/>
    <w:rsid w:val="00BE6932"/>
    <w:rsid w:val="00C050BE"/>
    <w:rsid w:val="00CD4E12"/>
    <w:rsid w:val="00CE43AC"/>
    <w:rsid w:val="00CF07F9"/>
    <w:rsid w:val="00D2053D"/>
    <w:rsid w:val="00DA6BA6"/>
    <w:rsid w:val="00EC2B65"/>
    <w:rsid w:val="00F4351F"/>
    <w:rsid w:val="00FF76A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79EB"/>
    <w:pPr>
      <w:spacing w:after="160" w:line="259" w:lineRule="auto"/>
    </w:pPr>
    <w:rPr>
      <w:lang w:val="en-Z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BE6932"/>
    <w:pPr>
      <w:ind w:left="720"/>
      <w:contextualSpacing/>
    </w:pPr>
  </w:style>
  <w:style w:type="character" w:styleId="FootnoteReference">
    <w:name w:val="footnote reference"/>
    <w:basedOn w:val="DefaultParagraphFont"/>
    <w:uiPriority w:val="99"/>
    <w:semiHidden/>
    <w:rsid w:val="0038225F"/>
    <w:rPr>
      <w:rFonts w:cs="Times New Roman"/>
      <w:vertAlign w:val="superscript"/>
    </w:rPr>
  </w:style>
  <w:style w:type="paragraph" w:customStyle="1" w:styleId="Default">
    <w:name w:val="Default"/>
    <w:uiPriority w:val="99"/>
    <w:rsid w:val="0038225F"/>
    <w:pPr>
      <w:autoSpaceDE w:val="0"/>
      <w:autoSpaceDN w:val="0"/>
      <w:adjustRightInd w:val="0"/>
    </w:pPr>
    <w:rPr>
      <w:rFonts w:cs="Calibri"/>
      <w:color w:val="000000"/>
      <w:sz w:val="24"/>
      <w:szCs w:val="24"/>
      <w:lang w:val="en-ZA"/>
    </w:rPr>
  </w:style>
  <w:style w:type="paragraph" w:styleId="Header">
    <w:name w:val="header"/>
    <w:basedOn w:val="Normal"/>
    <w:link w:val="HeaderChar"/>
    <w:uiPriority w:val="99"/>
    <w:rsid w:val="0038225F"/>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38225F"/>
    <w:rPr>
      <w:rFonts w:cs="Times New Roman"/>
    </w:rPr>
  </w:style>
  <w:style w:type="paragraph" w:styleId="Footer">
    <w:name w:val="footer"/>
    <w:basedOn w:val="Normal"/>
    <w:link w:val="FooterChar"/>
    <w:uiPriority w:val="99"/>
    <w:rsid w:val="0038225F"/>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38225F"/>
    <w:rPr>
      <w:rFonts w:cs="Times New Roman"/>
    </w:rPr>
  </w:style>
  <w:style w:type="paragraph" w:styleId="FootnoteText">
    <w:name w:val="footnote text"/>
    <w:basedOn w:val="Normal"/>
    <w:link w:val="FootnoteTextChar"/>
    <w:uiPriority w:val="99"/>
    <w:semiHidden/>
    <w:rsid w:val="005D7E49"/>
    <w:pPr>
      <w:spacing w:after="0" w:line="240" w:lineRule="auto"/>
    </w:pPr>
    <w:rPr>
      <w:rFonts w:ascii="Times New Roman" w:eastAsia="Times New Roman" w:hAnsi="Times New Roman"/>
      <w:sz w:val="20"/>
      <w:szCs w:val="20"/>
      <w:lang w:val="en-US"/>
    </w:rPr>
  </w:style>
  <w:style w:type="character" w:customStyle="1" w:styleId="FootnoteTextChar">
    <w:name w:val="Footnote Text Char"/>
    <w:basedOn w:val="DefaultParagraphFont"/>
    <w:link w:val="FootnoteText"/>
    <w:uiPriority w:val="99"/>
    <w:semiHidden/>
    <w:locked/>
    <w:rsid w:val="005D7E49"/>
    <w:rPr>
      <w:rFonts w:ascii="Times New Roman" w:hAnsi="Times New Roman" w:cs="Times New Roman"/>
      <w:sz w:val="20"/>
      <w:szCs w:val="20"/>
      <w:lang w:val="en-US"/>
    </w:rPr>
  </w:style>
  <w:style w:type="paragraph" w:customStyle="1" w:styleId="western">
    <w:name w:val="western"/>
    <w:basedOn w:val="Normal"/>
    <w:uiPriority w:val="99"/>
    <w:rsid w:val="005D7E49"/>
    <w:pPr>
      <w:spacing w:before="144" w:after="288" w:line="240" w:lineRule="auto"/>
    </w:pPr>
    <w:rPr>
      <w:rFonts w:ascii="Times New Roman" w:eastAsia="Times New Roman" w:hAnsi="Times New Roman"/>
      <w:sz w:val="24"/>
      <w:szCs w:val="24"/>
      <w:lang w:eastAsia="en-Z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8</Pages>
  <Words>2358</Words>
  <Characters>13442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withdrawal from Debt Review</dc:title>
  <dc:subject/>
  <dc:creator>paul slot</dc:creator>
  <cp:keywords/>
  <dc:description/>
  <cp:lastModifiedBy>ACE</cp:lastModifiedBy>
  <cp:revision>2</cp:revision>
  <cp:lastPrinted>2014-09-22T12:46:00Z</cp:lastPrinted>
  <dcterms:created xsi:type="dcterms:W3CDTF">2014-10-21T08:14:00Z</dcterms:created>
  <dcterms:modified xsi:type="dcterms:W3CDTF">2014-10-21T08:14:00Z</dcterms:modified>
</cp:coreProperties>
</file>